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2A8053C6" w:rsidR="0016385D" w:rsidRPr="00336DA8" w:rsidRDefault="003B0151" w:rsidP="00643B41">
      <w:pPr>
        <w:pStyle w:val="PaperTitle"/>
        <w:spacing w:before="0"/>
        <w:rPr>
          <w:sz w:val="24"/>
          <w:szCs w:val="24"/>
        </w:rPr>
      </w:pPr>
      <w:r w:rsidRPr="00336DA8">
        <w:t>City Lights, Dimming Diversity: A Statistical Analysis of Urbanization's Impact on Biodiversity in Bangladesh</w:t>
      </w:r>
      <w:r w:rsidR="00BE5FD1" w:rsidRPr="00336DA8">
        <w:t xml:space="preserve"> </w:t>
      </w:r>
    </w:p>
    <w:p w14:paraId="548D96A3" w14:textId="64505280" w:rsidR="00C14B14" w:rsidRPr="00E47660" w:rsidRDefault="003B0151" w:rsidP="00336DA8">
      <w:pPr>
        <w:pStyle w:val="AuthorName"/>
        <w:rPr>
          <w:szCs w:val="28"/>
        </w:rPr>
      </w:pPr>
      <w:r w:rsidRPr="00E47660">
        <w:rPr>
          <w:szCs w:val="28"/>
        </w:rPr>
        <w:t>K. M. Tahsin Kabir</w:t>
      </w:r>
      <w:r w:rsidRPr="00E47660">
        <w:rPr>
          <w:szCs w:val="28"/>
          <w:vertAlign w:val="superscript"/>
        </w:rPr>
        <w:t>1, a)</w:t>
      </w:r>
      <w:r w:rsidR="0059227F" w:rsidRPr="00E47660">
        <w:rPr>
          <w:szCs w:val="28"/>
        </w:rPr>
        <w:t>,</w:t>
      </w:r>
      <w:r w:rsidR="0059227F">
        <w:rPr>
          <w:szCs w:val="28"/>
        </w:rPr>
        <w:t xml:space="preserve"> </w:t>
      </w:r>
      <w:proofErr w:type="spellStart"/>
      <w:r w:rsidRPr="00E47660">
        <w:rPr>
          <w:szCs w:val="28"/>
        </w:rPr>
        <w:t>Sunipun</w:t>
      </w:r>
      <w:proofErr w:type="spellEnd"/>
      <w:r w:rsidRPr="00E47660">
        <w:rPr>
          <w:szCs w:val="28"/>
        </w:rPr>
        <w:t xml:space="preserve"> Seemanta</w:t>
      </w:r>
      <w:r w:rsidRPr="00E47660">
        <w:rPr>
          <w:szCs w:val="28"/>
          <w:vertAlign w:val="superscript"/>
        </w:rPr>
        <w:t>2, b)</w:t>
      </w:r>
      <w:r w:rsidR="0059227F" w:rsidRPr="00E47660">
        <w:rPr>
          <w:szCs w:val="28"/>
        </w:rPr>
        <w:t>,</w:t>
      </w:r>
      <w:r w:rsidR="0059227F">
        <w:rPr>
          <w:szCs w:val="28"/>
        </w:rPr>
        <w:t xml:space="preserve"> </w:t>
      </w:r>
      <w:r w:rsidRPr="00E47660">
        <w:rPr>
          <w:szCs w:val="28"/>
        </w:rPr>
        <w:t xml:space="preserve">Md. </w:t>
      </w:r>
      <w:proofErr w:type="spellStart"/>
      <w:r w:rsidRPr="00E47660">
        <w:rPr>
          <w:szCs w:val="28"/>
        </w:rPr>
        <w:t>Mortuza</w:t>
      </w:r>
      <w:proofErr w:type="spellEnd"/>
      <w:r w:rsidRPr="00E47660">
        <w:rPr>
          <w:szCs w:val="28"/>
        </w:rPr>
        <w:t xml:space="preserve"> Ahmmed</w:t>
      </w:r>
      <w:r w:rsidRPr="00E47660">
        <w:rPr>
          <w:szCs w:val="28"/>
          <w:vertAlign w:val="superscript"/>
        </w:rPr>
        <w:t>3, c)</w:t>
      </w:r>
      <w:r w:rsidR="0059227F" w:rsidRPr="00E47660">
        <w:rPr>
          <w:szCs w:val="28"/>
        </w:rPr>
        <w:t>,</w:t>
      </w:r>
      <w:r w:rsidR="0059227F">
        <w:rPr>
          <w:szCs w:val="28"/>
        </w:rPr>
        <w:t xml:space="preserve"> </w:t>
      </w:r>
      <w:r w:rsidRPr="00E47660">
        <w:rPr>
          <w:szCs w:val="28"/>
        </w:rPr>
        <w:t>Md Saef Ullah Miah</w:t>
      </w:r>
      <w:r w:rsidRPr="00E47660">
        <w:rPr>
          <w:szCs w:val="28"/>
          <w:vertAlign w:val="superscript"/>
        </w:rPr>
        <w:t>2, d)</w:t>
      </w:r>
      <w:r w:rsidRPr="00E47660">
        <w:rPr>
          <w:szCs w:val="28"/>
        </w:rPr>
        <w:t xml:space="preserve"> and </w:t>
      </w:r>
      <w:r w:rsidR="004F70D5" w:rsidRPr="00E47660">
        <w:rPr>
          <w:szCs w:val="28"/>
        </w:rPr>
        <w:t>Kah Ong Michael Goh</w:t>
      </w:r>
      <w:r w:rsidRPr="00E47660">
        <w:rPr>
          <w:szCs w:val="28"/>
          <w:vertAlign w:val="superscript"/>
        </w:rPr>
        <w:t xml:space="preserve">4, </w:t>
      </w:r>
      <w:r w:rsidR="00E41836" w:rsidRPr="00E47660">
        <w:rPr>
          <w:szCs w:val="28"/>
          <w:vertAlign w:val="superscript"/>
        </w:rPr>
        <w:t xml:space="preserve">5, </w:t>
      </w:r>
      <w:r w:rsidRPr="00E47660">
        <w:rPr>
          <w:szCs w:val="28"/>
          <w:vertAlign w:val="superscript"/>
        </w:rPr>
        <w:t>e)</w:t>
      </w:r>
    </w:p>
    <w:p w14:paraId="4BDD910B" w14:textId="12A5E7B0" w:rsidR="003B0151" w:rsidRPr="00321802" w:rsidRDefault="003B0151" w:rsidP="00336DA8">
      <w:pPr>
        <w:pStyle w:val="AuthorAffiliation"/>
      </w:pPr>
      <w:r w:rsidRPr="00321802">
        <w:rPr>
          <w:vertAlign w:val="superscript"/>
        </w:rPr>
        <w:t>1</w:t>
      </w:r>
      <w:r w:rsidRPr="00321802">
        <w:t>Department of Computer Science and Engineering, Asian University of Bangladesh, Dhaka</w:t>
      </w:r>
      <w:r w:rsidR="00DD7C7F" w:rsidRPr="00321802">
        <w:t xml:space="preserve"> 1341</w:t>
      </w:r>
      <w:r w:rsidRPr="00321802">
        <w:t>, Bangladesh</w:t>
      </w:r>
      <w:r w:rsidR="00321802">
        <w:t>.</w:t>
      </w:r>
    </w:p>
    <w:p w14:paraId="0E1233D8" w14:textId="01B5FDD1" w:rsidR="003B0151" w:rsidRPr="00321802" w:rsidRDefault="003B0151" w:rsidP="00336DA8">
      <w:pPr>
        <w:pStyle w:val="AuthorAffiliation"/>
      </w:pPr>
      <w:r w:rsidRPr="00321802">
        <w:rPr>
          <w:vertAlign w:val="superscript"/>
        </w:rPr>
        <w:t>2</w:t>
      </w:r>
      <w:r w:rsidRPr="00321802">
        <w:t>Department of Computer Science, American International University-Bangladesh, Dhaka 1229, Bangladesh</w:t>
      </w:r>
      <w:r w:rsidR="00321802">
        <w:t>.</w:t>
      </w:r>
    </w:p>
    <w:p w14:paraId="6B5B8C5B" w14:textId="3DD6FB37" w:rsidR="003B0151" w:rsidRPr="00321802" w:rsidRDefault="003B0151" w:rsidP="00336DA8">
      <w:pPr>
        <w:pStyle w:val="AuthorAffiliation"/>
      </w:pPr>
      <w:r w:rsidRPr="00321802">
        <w:rPr>
          <w:vertAlign w:val="superscript"/>
        </w:rPr>
        <w:t>3</w:t>
      </w:r>
      <w:r w:rsidRPr="00321802">
        <w:t>Department of Mathematics, American International University-Bangladesh, Dhaka 1229, Bangladesh</w:t>
      </w:r>
      <w:r w:rsidR="00321802">
        <w:t>.</w:t>
      </w:r>
    </w:p>
    <w:p w14:paraId="771D6B6C" w14:textId="2B7739B3" w:rsidR="00C14B14" w:rsidRPr="00321802" w:rsidRDefault="003B0151" w:rsidP="00336DA8">
      <w:pPr>
        <w:pStyle w:val="AuthorAffiliation"/>
      </w:pPr>
      <w:r w:rsidRPr="00321802">
        <w:rPr>
          <w:vertAlign w:val="superscript"/>
        </w:rPr>
        <w:t>4</w:t>
      </w:r>
      <w:r w:rsidRPr="00321802">
        <w:t xml:space="preserve">Faculty of Information Science and Technology (FIST), Multimedia University, Jalan Ayer Keroh Lama, 75450, Bukit </w:t>
      </w:r>
      <w:proofErr w:type="spellStart"/>
      <w:r w:rsidRPr="00321802">
        <w:t>Beruang</w:t>
      </w:r>
      <w:proofErr w:type="spellEnd"/>
      <w:r w:rsidRPr="00321802">
        <w:t>, Melaka</w:t>
      </w:r>
      <w:r w:rsidR="00336DA8" w:rsidRPr="00321802">
        <w:t>.</w:t>
      </w:r>
    </w:p>
    <w:p w14:paraId="0733D360" w14:textId="3EBBF625" w:rsidR="00E41836" w:rsidRPr="00321802" w:rsidRDefault="00E41836" w:rsidP="00643B41">
      <w:pPr>
        <w:pStyle w:val="AuthorAffiliation"/>
      </w:pPr>
      <w:r w:rsidRPr="00321802">
        <w:rPr>
          <w:vertAlign w:val="superscript"/>
        </w:rPr>
        <w:t>5</w:t>
      </w:r>
      <w:r w:rsidRPr="00321802">
        <w:t>Centre for</w:t>
      </w:r>
      <w:r w:rsidR="004F70D5" w:rsidRPr="00321802">
        <w:t xml:space="preserve"> Image and Vision Computing, </w:t>
      </w:r>
      <w:proofErr w:type="spellStart"/>
      <w:r w:rsidR="004F70D5" w:rsidRPr="00321802">
        <w:t>C</w:t>
      </w:r>
      <w:r w:rsidR="007840EB" w:rsidRPr="00321802">
        <w:t>o</w:t>
      </w:r>
      <w:r w:rsidR="004F70D5" w:rsidRPr="00321802">
        <w:t>E</w:t>
      </w:r>
      <w:proofErr w:type="spellEnd"/>
      <w:r w:rsidR="004F70D5" w:rsidRPr="00321802">
        <w:t xml:space="preserve"> for Artificial Intelligence</w:t>
      </w:r>
      <w:r w:rsidR="00336DA8" w:rsidRPr="00321802">
        <w:t xml:space="preserve">, Multimedia University, Jalan Ayer Keroh Lama, 75450, Bukit </w:t>
      </w:r>
      <w:proofErr w:type="spellStart"/>
      <w:r w:rsidR="00336DA8" w:rsidRPr="00321802">
        <w:t>Beruang</w:t>
      </w:r>
      <w:proofErr w:type="spellEnd"/>
      <w:r w:rsidR="00336DA8" w:rsidRPr="00321802">
        <w:t>, Melaka.</w:t>
      </w:r>
    </w:p>
    <w:p w14:paraId="2100C63E" w14:textId="364B70D1" w:rsidR="00E41836" w:rsidRDefault="00E41836" w:rsidP="00643B41">
      <w:pPr>
        <w:pStyle w:val="AuthorAffiliation"/>
      </w:pPr>
    </w:p>
    <w:p w14:paraId="143D13F0" w14:textId="77777777" w:rsidR="00E41836" w:rsidRPr="00321802" w:rsidRDefault="00E41836" w:rsidP="00336DA8">
      <w:pPr>
        <w:pStyle w:val="AuthorAffiliation"/>
      </w:pPr>
      <w:r w:rsidRPr="00321802">
        <w:rPr>
          <w:vertAlign w:val="superscript"/>
        </w:rPr>
        <w:t>e)</w:t>
      </w:r>
      <w:r w:rsidRPr="00321802">
        <w:t xml:space="preserve"> Corresponding author: michael.goh@mmu.edu.my</w:t>
      </w:r>
    </w:p>
    <w:p w14:paraId="0245765D" w14:textId="1D3ABD2F" w:rsidR="003B0151" w:rsidRPr="00321802" w:rsidRDefault="003B0151" w:rsidP="00336DA8">
      <w:pPr>
        <w:pStyle w:val="AuthorAffiliation"/>
        <w:rPr>
          <w:lang w:val="pt-BR"/>
        </w:rPr>
      </w:pPr>
      <w:r w:rsidRPr="00321802">
        <w:rPr>
          <w:vertAlign w:val="superscript"/>
          <w:lang w:val="pt-BR"/>
        </w:rPr>
        <w:t xml:space="preserve">a) </w:t>
      </w:r>
      <w:r w:rsidRPr="00321802">
        <w:rPr>
          <w:lang w:val="pt-BR"/>
        </w:rPr>
        <w:t>tahsin@aub.ac.bd</w:t>
      </w:r>
    </w:p>
    <w:p w14:paraId="3DDA7400" w14:textId="7B7040F9" w:rsidR="003B0151" w:rsidRPr="00321802" w:rsidRDefault="003B0151" w:rsidP="00336DA8">
      <w:pPr>
        <w:pStyle w:val="AuthorAffiliation"/>
        <w:rPr>
          <w:lang w:val="pt-BR"/>
        </w:rPr>
      </w:pPr>
      <w:r w:rsidRPr="00321802">
        <w:rPr>
          <w:vertAlign w:val="superscript"/>
          <w:lang w:val="pt-BR"/>
        </w:rPr>
        <w:t>b)</w:t>
      </w:r>
      <w:r w:rsidR="00321802">
        <w:rPr>
          <w:vertAlign w:val="superscript"/>
          <w:lang w:val="pt-BR"/>
        </w:rPr>
        <w:t xml:space="preserve"> </w:t>
      </w:r>
      <w:r w:rsidRPr="00321802">
        <w:rPr>
          <w:lang w:val="pt-BR"/>
        </w:rPr>
        <w:t>22-47547-2@student.aiub.edu</w:t>
      </w:r>
    </w:p>
    <w:p w14:paraId="00A0FB68" w14:textId="1C79990E" w:rsidR="003B0151" w:rsidRPr="00321802" w:rsidRDefault="003B0151" w:rsidP="00336DA8">
      <w:pPr>
        <w:pStyle w:val="AuthorAffiliation"/>
        <w:rPr>
          <w:lang w:val="pt-BR"/>
        </w:rPr>
      </w:pPr>
      <w:r w:rsidRPr="00321802">
        <w:rPr>
          <w:vertAlign w:val="superscript"/>
          <w:lang w:val="pt-BR"/>
        </w:rPr>
        <w:t>c)</w:t>
      </w:r>
      <w:r w:rsidR="00321802">
        <w:rPr>
          <w:vertAlign w:val="superscript"/>
          <w:lang w:val="pt-BR"/>
        </w:rPr>
        <w:t xml:space="preserve"> </w:t>
      </w:r>
      <w:r w:rsidRPr="00321802">
        <w:rPr>
          <w:lang w:val="pt-BR"/>
        </w:rPr>
        <w:t>mortuza@aiub.edu</w:t>
      </w:r>
    </w:p>
    <w:p w14:paraId="3AD97004" w14:textId="7FF166A7" w:rsidR="003B0151" w:rsidRPr="00321802" w:rsidRDefault="003B0151" w:rsidP="00336DA8">
      <w:pPr>
        <w:pStyle w:val="AuthorAffiliation"/>
        <w:rPr>
          <w:lang w:val="pt-BR"/>
        </w:rPr>
      </w:pPr>
      <w:r w:rsidRPr="00321802">
        <w:rPr>
          <w:vertAlign w:val="superscript"/>
          <w:lang w:val="pt-BR"/>
        </w:rPr>
        <w:t>d)</w:t>
      </w:r>
      <w:r w:rsidR="00321802">
        <w:rPr>
          <w:vertAlign w:val="superscript"/>
          <w:lang w:val="pt-BR"/>
        </w:rPr>
        <w:t xml:space="preserve"> </w:t>
      </w:r>
      <w:r w:rsidRPr="00321802">
        <w:rPr>
          <w:lang w:val="pt-BR"/>
        </w:rPr>
        <w:t>saef@aiub.edu</w:t>
      </w:r>
    </w:p>
    <w:p w14:paraId="22C3F2A8" w14:textId="2C9B95D6" w:rsidR="0016385D" w:rsidRPr="00075EA6" w:rsidRDefault="0016385D" w:rsidP="00643B41">
      <w:pPr>
        <w:pStyle w:val="Abstract"/>
        <w:ind w:left="288" w:right="288"/>
      </w:pPr>
      <w:r w:rsidRPr="00075EA6">
        <w:rPr>
          <w:b/>
          <w:bCs/>
        </w:rPr>
        <w:t>Abstract.</w:t>
      </w:r>
      <w:r w:rsidRPr="00075EA6">
        <w:t xml:space="preserve"> </w:t>
      </w:r>
      <w:r w:rsidR="003B0151" w:rsidRPr="003B0151">
        <w:t>Bangladesh has been rapidly urbanizing in recent years, which is causing concerns about its impact on local wildlife. As cities grow, natural habitats are shrinking, leading to fewer species and damaged ecosystems. This study aims to understand how urban growth affects biodiversity in Bangladesh. The goal is to see how much urbanization harms wildlife and what factors are driving these changes. This study uses secondary data to study the relationship between urbanization and biodiversity. Statistical methods like correlation and regression analysis are used to find patterns between urban growth and changes in wildlife. The data helps identify key factors that affect biodiversity as urbanization expands. The findings imply that urbanization significantly affects biodiversity, offering important implications for both environmental and urban policy frameworks. This study helps to highlight the serious effects of urbanization on wildlife in Bangladesh. It offers useful insights for policymakers to create plans that can balance city growth with the protection of nature. This study stresses the need for sustainable urban planning to protect biodiversity and maintain healthy ecosystems in the country.</w:t>
      </w:r>
    </w:p>
    <w:p w14:paraId="5240E3FB" w14:textId="45184CAE" w:rsidR="003A287B" w:rsidRPr="00075EA6" w:rsidRDefault="003B0151" w:rsidP="00336DA8">
      <w:pPr>
        <w:pStyle w:val="Heading1"/>
        <w:rPr>
          <w:b w:val="0"/>
          <w:caps w:val="0"/>
          <w:sz w:val="20"/>
        </w:rPr>
      </w:pPr>
      <w:r>
        <w:t>Introduction</w:t>
      </w:r>
    </w:p>
    <w:p w14:paraId="1529DDEB" w14:textId="5CF7FE6E" w:rsidR="003B0151" w:rsidRDefault="003B0151" w:rsidP="00336DA8">
      <w:pPr>
        <w:pStyle w:val="Paragraph"/>
        <w:ind w:firstLine="288"/>
      </w:pPr>
      <w:r>
        <w:t>Bangladesh has experienced rapid urbanization in the last couple of decades, leading to significant environmental change. The urban population increases steadily through rural-urban migration, economic development, and industrialization. However, this urban expansion occurs at the cost of natural habitats in the area, causing fragmentation of habitats, loss of biodiversity, and degradation of the ecosystem. Urbanization transforms landscapes by replacing forests, wetlands, and agricultural lands with infrastructure such as roads, buildings, and industrial sites. This changes the landscape and transforms wetlands, forests, and agricultural lands into buildings, roads, and industrial sites. These negative transformations have less biodiversity support at macro-level food and shelter resource availability for wildlife. A study by Rahman and Szabó (2021) found that Dhaka had lost 56% of its green areas between 1989 and 2020, while the percentage of healthy vegetation had fallen from 17% to merely 2% over this timespan</w:t>
      </w:r>
      <w:r w:rsidR="000811EC">
        <w:t xml:space="preserve"> </w:t>
      </w:r>
      <w:r w:rsidR="00421348">
        <w:fldChar w:fldCharType="begin"/>
      </w:r>
      <w:r w:rsidR="00421348">
        <w:instrText xml:space="preserve"> ADDIN ZOTERO_ITEM CSL_CITATION {"citationID":"GjXcDReo","properties":{"formattedCitation":"[1]","plainCitation":"[1]","noteIndex":0},"citationItems":[{"id":71,"uris":["http://zotero.org/users/local/bx3xsK79/items/LFHCGRMU"],"itemData":{"id":71,"type":"article-journal","container-title":"Environmental Challenges","DOI":"10.1016/j.envc.2021.100425","ISSN":"26670100","journalAbbreviation":"Environmental Challenges","language":"en","page":"100425","source":"DOI.org (Crossref)","title":"Present status and historical changes of urban green space in Dhaka city, Bangladesh: A remote sensing driven approach","title-short":"Present status and historical changes of urban green space in Dhaka city, Bangladesh","volume":"6","author":[{"family":"Nawar","given":"Nowshin"},{"family":"Sorker","given":"Raihan"},{"family":"Chowdhury","given":"Farhat Jahan"},{"family":"Mostafizur Rahman","given":"Md."}],"issued":{"date-parts":[["2022",1]]}}}],"schema":"https://github.com/citation-style-language/schema/raw/master/csl-citation.json"} </w:instrText>
      </w:r>
      <w:r w:rsidR="00421348">
        <w:fldChar w:fldCharType="separate"/>
      </w:r>
      <w:r w:rsidR="00421348" w:rsidRPr="00421348">
        <w:t>[1]</w:t>
      </w:r>
      <w:r w:rsidR="00421348">
        <w:fldChar w:fldCharType="end"/>
      </w:r>
      <w:r>
        <w:t>. Moreover, urbanization increases pollution, which exerts adverse impacts on biodiversity. Industrial emissions, construction activities, and waste accumulation lead to air, water, and soil pollution that degrade the habitats even further. According to the IUCN Red List Assessment 2015, 390 out of 1619 species in Bangladesh (25%) are threatened, mainly due to habitat destruction, hunting and human-wildlife conflict</w:t>
      </w:r>
      <w:r w:rsidR="00013128">
        <w:t xml:space="preserve"> </w:t>
      </w:r>
      <w:r w:rsidR="00013128">
        <w:fldChar w:fldCharType="begin"/>
      </w:r>
      <w:r w:rsidR="00013128">
        <w:instrText xml:space="preserve"> ADDIN ZOTERO_ITEM CSL_CITATION {"citationID":"MebNyGCM","properties":{"formattedCitation":"[2]","plainCitation":"[2]","noteIndex":0},"citationItems":[{"id":72,"uris":["http://zotero.org/users/local/bx3xsK79/items/9I2MBJTP"],"itemData":{"id":72,"type":"book","event-place":"Dhaka, Bangladesh","ISBN":"978-984-34-0733-7","language":"eng","note":"OCLC: 987156122","publisher":"IUCN, International Union for Conservation of Nature, Bangladesh Country Office","publisher-place":"Dhaka, Bangladesh","source":"Open WorldCat","title":"Red list of Bangladesh","author":[{"family":"Khan","given":"Mohammad Ali Reza"},{"family":"Chowdhury","given":"Mohammad Shahad Mahabub"}],"issued":{"date-parts":[["2015"]]}}}],"schema":"https://github.com/citation-style-language/schema/raw/master/csl-citation.json"} </w:instrText>
      </w:r>
      <w:r w:rsidR="00013128">
        <w:fldChar w:fldCharType="separate"/>
      </w:r>
      <w:r w:rsidR="00013128" w:rsidRPr="00013128">
        <w:t>[2]</w:t>
      </w:r>
      <w:r w:rsidR="00013128">
        <w:fldChar w:fldCharType="end"/>
      </w:r>
      <w:r>
        <w:t xml:space="preserve">. While urbanization is an unavoidable process in any growth of a nation, sustainable planning and conservation of such areas can help mitigate the negative impacts on biodiversity. This study will investigate the impact of urbanization in Bangladesh on local wildlife through a statistic exploration of the correlation between urban expansion and biodiversity loss. This study will provide a basis for guiding policymakers, urban planners, and environmentalists </w:t>
      </w:r>
      <w:proofErr w:type="gramStart"/>
      <w:r>
        <w:t>can consider</w:t>
      </w:r>
      <w:proofErr w:type="gramEnd"/>
      <w:r>
        <w:t xml:space="preserve"> their plan towards a strategy for sustainable urban growth.</w:t>
      </w:r>
    </w:p>
    <w:p w14:paraId="56B829C5" w14:textId="4C0A14D2" w:rsidR="003F31C6" w:rsidRDefault="003B0151" w:rsidP="00336DA8">
      <w:pPr>
        <w:pStyle w:val="Paragraph"/>
        <w:ind w:firstLine="288"/>
      </w:pPr>
      <w:r>
        <w:lastRenderedPageBreak/>
        <w:t>This study examines the effects that urban growth in Bangladesh caused to forest regions and agricultural territories between 2000 and 2019 while assessing environmental sustainability outcomes. The research explores both habitat safety of various species among urbanizing areas and the effects of habitat loss on biodiversity. The study aims to identify which biodiversity variables demonstrate ecological changes and to determine how urbanization affects wildlife species populations. The study evaluates how new road construction and urban immigration influence wildlife through analysis of habitat splitting and restricted animal movement effects. The research investigates green spaces in major Bangladeshi cities by exploring their effects on biodiversity preservation and urban sustainability.</w:t>
      </w:r>
    </w:p>
    <w:p w14:paraId="238F91B4" w14:textId="38C86C5B" w:rsidR="00D87E2A" w:rsidRDefault="003B0151" w:rsidP="00643B41">
      <w:pPr>
        <w:pStyle w:val="Heading1"/>
        <w:rPr>
          <w:b w:val="0"/>
          <w:caps w:val="0"/>
          <w:sz w:val="20"/>
        </w:rPr>
      </w:pPr>
      <w:r>
        <w:rPr>
          <w:rFonts w:asciiTheme="majorBidi" w:hAnsiTheme="majorBidi" w:cstheme="majorBidi"/>
        </w:rPr>
        <w:t>Literature review</w:t>
      </w:r>
    </w:p>
    <w:p w14:paraId="05F89AFC" w14:textId="1C6C86BC" w:rsidR="006B581B" w:rsidRDefault="006B581B" w:rsidP="00336DA8">
      <w:pPr>
        <w:pStyle w:val="Paragraph"/>
        <w:ind w:firstLine="288"/>
        <w:rPr>
          <w:rFonts w:asciiTheme="majorBidi" w:hAnsiTheme="majorBidi" w:cstheme="majorBidi"/>
        </w:rPr>
      </w:pPr>
      <w:r w:rsidRPr="006B581B">
        <w:rPr>
          <w:rFonts w:asciiTheme="majorBidi" w:hAnsiTheme="majorBidi" w:cstheme="majorBidi"/>
        </w:rPr>
        <w:t>Several studies have investigated the impact of urbanization on biodiversity in Bangladesh, providing valuable insights into the challenges and opportunities in urban settings.</w:t>
      </w:r>
    </w:p>
    <w:p w14:paraId="4B7DA051" w14:textId="6428148A" w:rsidR="006B581B" w:rsidRPr="006B581B" w:rsidRDefault="006B581B" w:rsidP="00336DA8">
      <w:pPr>
        <w:pStyle w:val="Paragraph"/>
        <w:ind w:firstLine="288"/>
        <w:rPr>
          <w:rFonts w:asciiTheme="majorBidi" w:hAnsiTheme="majorBidi" w:cstheme="majorBidi"/>
        </w:rPr>
      </w:pPr>
      <w:r w:rsidRPr="006B581B">
        <w:rPr>
          <w:rFonts w:asciiTheme="majorBidi" w:hAnsiTheme="majorBidi" w:cstheme="majorBidi"/>
        </w:rPr>
        <w:t xml:space="preserve">By applying geospatial techniques, it is found that urban green spaces of the Dhaka South City Corporation over a period of thirty years (1991 to 2021) </w:t>
      </w:r>
      <w:r w:rsidR="00013128">
        <w:rPr>
          <w:rFonts w:asciiTheme="majorBidi" w:hAnsiTheme="majorBidi" w:cstheme="majorBidi"/>
        </w:rPr>
        <w:fldChar w:fldCharType="begin"/>
      </w:r>
      <w:r w:rsidR="00013128">
        <w:rPr>
          <w:rFonts w:asciiTheme="majorBidi" w:hAnsiTheme="majorBidi" w:cstheme="majorBidi"/>
        </w:rPr>
        <w:instrText xml:space="preserve"> ADDIN ZOTERO_ITEM CSL_CITATION {"citationID":"4NhPxyj7","properties":{"formattedCitation":"[3]","plainCitation":"[3]","noteIndex":0},"citationItems":[{"id":73,"uris":["http://zotero.org/users/local/bx3xsK79/items/RXRK4R2E"],"itemData":{"id":73,"type":"article-journal","abstract":"Green spaces play a critical role in enhancing the urban environment, improving livability, and providing essential ecosystem services. A city should have at least 25% green space from an environmental and health point of view. However, quantitative estimation is required to assess the extent and pattern of green space changes for proper urban management. The present study aimed to identify and track the changes in urban green spaces within the Dhaka South City Corporation (DSCC) of Bangladesh over a 30-year period (i.e., 1991–2021). Geospatial techniques were utilized to analyze green space dynamics using Landsat 4–5 TM satellite images from 1991, 2001, and 2011 and Landsat 8 images from 2021. Supervised image classification techniques and Normalized Difference Vegetation Index (NDVI) analysis were performed to assess the urban green space dynamics in DSCC. The results of our study revealed a significant 36.5% reduction in vegetation cover in the DSCC area over the study period. In 1991, the green area coverage in DSCC was 46%, indicating a relatively healthy environment. By 2001, this coverage had declined sharply to 21.3%, further decreasing to 19.7% in 2011, and reaching a low of just 9.5% in 2021. The classified maps generated in the study were validated through field observations and Google Earth images. The outcomes of our study will be helpful for policymakers and city planners in developing and applying appropriate policies and plans to preserve and improve urban green spaces in DSCC in Bangladesh and other Asian megacities with high population density.","container-title":"Land","DOI":"10.3390/land13091426","ISSN":"2073-445X","issue":"9","journalAbbreviation":"Land","language":"en","license":"https://creativecommons.org/licenses/by/4.0/","page":"1426","source":"DOI.org (Crossref)","title":"Assessment of Urban Green Space Dynamics in Dhaka South City Corporation of Bangladesh Using Geospatial Techniques","volume":"13","author":[{"family":"Misty","given":"Maliha Sanzana"},{"family":"Hoque","given":"Muhammad Al-Amin"},{"family":"Mukul","given":"Sharif A."}],"issued":{"date-parts":[["2024",9,4]]}}}],"schema":"https://github.com/citation-style-language/schema/raw/master/csl-citation.json"} </w:instrText>
      </w:r>
      <w:r w:rsidR="00013128">
        <w:rPr>
          <w:rFonts w:asciiTheme="majorBidi" w:hAnsiTheme="majorBidi" w:cstheme="majorBidi"/>
        </w:rPr>
        <w:fldChar w:fldCharType="separate"/>
      </w:r>
      <w:r w:rsidR="00013128" w:rsidRPr="00013128">
        <w:t>[3]</w:t>
      </w:r>
      <w:r w:rsidR="00013128">
        <w:rPr>
          <w:rFonts w:asciiTheme="majorBidi" w:hAnsiTheme="majorBidi" w:cstheme="majorBidi"/>
        </w:rPr>
        <w:fldChar w:fldCharType="end"/>
      </w:r>
      <w:r w:rsidRPr="006B581B">
        <w:rPr>
          <w:rFonts w:asciiTheme="majorBidi" w:hAnsiTheme="majorBidi" w:cstheme="majorBidi"/>
        </w:rPr>
        <w:t xml:space="preserve">. This study revealed 36.5% decline in the vegetation cover of the area, with green area coverage decreasing from 46% in 1991 to just 9.5% by the end of the study in 2021. One survey was conducted for butterflies in urban parks of Dhaka from the years 2018 to 2020, where 137 species were identified </w:t>
      </w:r>
      <w:r w:rsidR="00013128">
        <w:rPr>
          <w:rFonts w:asciiTheme="majorBidi" w:hAnsiTheme="majorBidi" w:cstheme="majorBidi"/>
        </w:rPr>
        <w:fldChar w:fldCharType="begin"/>
      </w:r>
      <w:r w:rsidR="00013128">
        <w:rPr>
          <w:rFonts w:asciiTheme="majorBidi" w:hAnsiTheme="majorBidi" w:cstheme="majorBidi"/>
        </w:rPr>
        <w:instrText xml:space="preserve"> ADDIN ZOTERO_ITEM CSL_CITATION {"citationID":"1VoHuh7D","properties":{"formattedCitation":"[4]","plainCitation":"[4]","noteIndex":0},"citationItems":[{"id":74,"uris":["http://zotero.org/users/local/bx3xsK79/items/NINE4IN6"],"itemData":{"id":74,"type":"article-journal","abstract":"Abstract\n            Cities currently harbour more than half of the world’s human population and continued urban expansion replaces natural landscapes and increases habitat fragmentation. The impacts of urbanisation on biodiversity have been extensively studied in some parts of the world, but there is limited information from South Asia, despite the rapid expansion of cities in the region. Here, we present the results of monthly surveys of butterflies in three urban parks in Dhaka city, Bangladesh, over a 3-year period (January 2014 to December 2016). We recorded 45% (137 of the 305 species) of the country’s butterfly richness, and 40% of the species detected are listed as nationally threatened. However, butterfly species richness declined rapidly in the three study areas over the 3-year period, and the decline appeared to be more severe among threatened species. We developed linear mixed effect models to assess the relationship between climatic variables and butterfly species richness. Overall, species richness was positively associated with maximum temperature and negatively with mean relative humidity and saturation deficit. Our results demonstrate the importance of urban green spaces for nationally threatened butterflies. With rapidly declining urban green spaces in Dhaka and other South Asian cities, we are likely to lose refuges for threatened fauna. There is an urgent need to understand urban biodiversity dynamics in the region, and for proactive management of urban green spaces to protect butterflies in South Asia.","container-title":"Journal of Urban Ecology","DOI":"10.1093/jue/juab008","ISSN":"2058-5543","issue":"1","language":"en","license":"http://creativecommons.org/licenses/by/4.0/","page":"juab008","source":"DOI.org (Crossref)","title":"Urban green spaces in Dhaka, Bangladesh, harbour nearly half the country’s butterfly diversity","volume":"7","author":[{"family":"Chowdhury","given":"Shawan"},{"family":"Shahriar","given":"Shihab A"},{"family":"Böhm","given":"Monika"},{"family":"Jain","given":"Anuj"},{"family":"Aich","given":"Upama"},{"family":"Zalucki","given":"Myron P"},{"family":"Hesselberg","given":"Thomas"},{"family":"Morelli","given":"Federico"},{"family":"Benedetti","given":"Yanina"},{"family":"Persson","given":"Anna S"},{"family":"Roy","given":"Deponkor K"},{"family":"Rahman","given":"Saima"},{"family":"Ahmed","given":"Sultan"},{"family":"Fuller","given":"Richard A"}],"issued":{"date-parts":[["2021",1,22]]}}}],"schema":"https://github.com/citation-style-language/schema/raw/master/csl-citation.json"} </w:instrText>
      </w:r>
      <w:r w:rsidR="00013128">
        <w:rPr>
          <w:rFonts w:asciiTheme="majorBidi" w:hAnsiTheme="majorBidi" w:cstheme="majorBidi"/>
        </w:rPr>
        <w:fldChar w:fldCharType="separate"/>
      </w:r>
      <w:r w:rsidR="00013128" w:rsidRPr="00013128">
        <w:t>[4]</w:t>
      </w:r>
      <w:r w:rsidR="00013128">
        <w:rPr>
          <w:rFonts w:asciiTheme="majorBidi" w:hAnsiTheme="majorBidi" w:cstheme="majorBidi"/>
        </w:rPr>
        <w:fldChar w:fldCharType="end"/>
      </w:r>
      <w:r w:rsidRPr="006B581B">
        <w:rPr>
          <w:rFonts w:asciiTheme="majorBidi" w:hAnsiTheme="majorBidi" w:cstheme="majorBidi"/>
        </w:rPr>
        <w:t>.</w:t>
      </w:r>
      <w:r w:rsidR="00B676E5">
        <w:rPr>
          <w:rFonts w:asciiTheme="majorBidi" w:hAnsiTheme="majorBidi" w:cstheme="majorBidi"/>
        </w:rPr>
        <w:t xml:space="preserve"> </w:t>
      </w:r>
      <w:r w:rsidRPr="006B581B">
        <w:rPr>
          <w:rFonts w:asciiTheme="majorBidi" w:hAnsiTheme="majorBidi" w:cstheme="majorBidi"/>
        </w:rPr>
        <w:t xml:space="preserve">This study comprises around 45% of the entire diversity of butterflies in Bangladesh. The authors mentioned that species richness had a rapid decline as the study progressed and found nationally threatened. The influences behind avian diversity patterns in Dhaka were assessed and land cover related to social factors was highlighted as significant in the formation of the bird populations. There were negative correlations of abundance with poverty, which points towards the effects of socioeconomic factors on urban patterns of biodiversity </w:t>
      </w:r>
      <w:r w:rsidR="00013128">
        <w:rPr>
          <w:rFonts w:asciiTheme="majorBidi" w:hAnsiTheme="majorBidi" w:cstheme="majorBidi"/>
        </w:rPr>
        <w:fldChar w:fldCharType="begin"/>
      </w:r>
      <w:r w:rsidR="00013128">
        <w:rPr>
          <w:rFonts w:asciiTheme="majorBidi" w:hAnsiTheme="majorBidi" w:cstheme="majorBidi"/>
        </w:rPr>
        <w:instrText xml:space="preserve"> ADDIN ZOTERO_ITEM CSL_CITATION {"citationID":"VCuqp9IS","properties":{"formattedCitation":"[5]","plainCitation":"[5]","noteIndex":0},"citationItems":[{"id":76,"uris":["http://zotero.org/users/local/bx3xsK79/items/ZK8GLR72"],"itemData":{"id":76,"type":"article-journal","container-title":"Ecology and Society","DOI":"10.5751/ES-12905-270119","ISSN":"1708-3087","issue":"1","journalAbbreviation":"E&amp;S","language":"en","page":"art19","source":"DOI.org (Crossref)","title":"Land cover and socioeconomic factors explain avian diversity in a tropical megacity","volume":"27","author":[{"family":"Sultana","given":"Marufa"},{"family":"Storch","given":"Ilse"},{"family":"Naser","given":"M. Niamul"},{"family":"Uddin","given":"Mayeen"}],"issued":{"date-parts":[["2022"]]}}}],"schema":"https://github.com/citation-style-language/schema/raw/master/csl-citation.json"} </w:instrText>
      </w:r>
      <w:r w:rsidR="00013128">
        <w:rPr>
          <w:rFonts w:asciiTheme="majorBidi" w:hAnsiTheme="majorBidi" w:cstheme="majorBidi"/>
        </w:rPr>
        <w:fldChar w:fldCharType="separate"/>
      </w:r>
      <w:r w:rsidR="00013128" w:rsidRPr="00013128">
        <w:t>[5]</w:t>
      </w:r>
      <w:r w:rsidR="00013128">
        <w:rPr>
          <w:rFonts w:asciiTheme="majorBidi" w:hAnsiTheme="majorBidi" w:cstheme="majorBidi"/>
        </w:rPr>
        <w:fldChar w:fldCharType="end"/>
      </w:r>
      <w:r w:rsidRPr="006B581B">
        <w:rPr>
          <w:rFonts w:asciiTheme="majorBidi" w:hAnsiTheme="majorBidi" w:cstheme="majorBidi"/>
        </w:rPr>
        <w:t xml:space="preserve">. One study found land-use changes around Dhaka and Gazipur districts spreading over the last three decades (1990-2020) and their impact on ecosystem service values. The study revealed that a high degree of land fragmentation was due to urban sprawl, which looked down on ecosystem services </w:t>
      </w:r>
      <w:r w:rsidR="00013128">
        <w:rPr>
          <w:rFonts w:asciiTheme="majorBidi" w:hAnsiTheme="majorBidi" w:cstheme="majorBidi"/>
        </w:rPr>
        <w:fldChar w:fldCharType="begin"/>
      </w:r>
      <w:r w:rsidR="00013128">
        <w:rPr>
          <w:rFonts w:asciiTheme="majorBidi" w:hAnsiTheme="majorBidi" w:cstheme="majorBidi"/>
        </w:rPr>
        <w:instrText xml:space="preserve"> ADDIN ZOTERO_ITEM CSL_CITATION {"citationID":"ucyCyTpE","properties":{"formattedCitation":"[6]","plainCitation":"[6]","noteIndex":0},"citationItems":[{"id":78,"uris":["http://zotero.org/users/local/bx3xsK79/items/3DRDU4J7"],"itemData":{"id":78,"type":"article-journal","abstract":"Abstract\n            Urban sprawl is a global phenomenon that has resulted in a substantial impact on ecosystem services. This study assessed how land use changes have affected the ecosystem services in Dhaka and Gazipur districts, two important economic centers of Bangladesh. This study analyzed changes in land use categories and their effects on ecosystem services during a thirty-year period, from 1990 to 2020, using LandSat data and published coefficient values. Additionally, a sensitivity analysis was undertaken to evaluate the ramifications of altering these coefficients on the resultant estimated values. The study revealed that in both Dhaka and Gazipur districts, the expansion of settlement areas and the reduction in tree vegetation cover have led to a significant decline in the overall value of ecosystem services. Over a 30-year timeframe, Gazipur experienced a more substantial loss in tree vegetation cover compared to Dhaka, whereas Dhaka witnessed a greater increase in settlement areas than Gazipur. Remarkably, during the most recent decade (2010–2020), the Gazipur district encountered heightened urban expansion and a more significant reduction in tree vegetation compared to Dhaka. The loss of the entire ecosystem service value was significant, amounting to USD 206.24 million for Dhaka and USD 381.27 million for Gazipur. This loss was primarily attributed to the decline in agricultural land, water bodies, rivers, and a reduction in tree vegetation. The study recommends that a more responsible land-use plan be created to protect tree vegetation, sustainable agriculture, and water bodies, which have the highest ecosystem service value in the study area. Overall, this study highlights the need for sustainable land-use techniques and offers insightful information about how urbanization affects ecosystem services in the investigated areas.","container-title":"Environmental Systems Research","DOI":"10.1186/s40068-023-00316-5","ISSN":"2193-2697","issue":"1","journalAbbreviation":"Environ Syst Res","language":"en","page":"32","source":"DOI.org (Crossref)","title":"Variations in ecosystem service value in response to land use changes in Dhaka and Gazipur Districts of Bangladesh","volume":"12","author":[{"family":"Sorker","given":"Raihan"},{"family":"Khan","given":"Mohammad Wahidur"},{"family":"Kabir","given":"Alamgir"},{"family":"Nawar","given":"Nowshin"}],"issued":{"date-parts":[["2023",10,12]]}}}],"schema":"https://github.com/citation-style-language/schema/raw/master/csl-citation.json"} </w:instrText>
      </w:r>
      <w:r w:rsidR="00013128">
        <w:rPr>
          <w:rFonts w:asciiTheme="majorBidi" w:hAnsiTheme="majorBidi" w:cstheme="majorBidi"/>
        </w:rPr>
        <w:fldChar w:fldCharType="separate"/>
      </w:r>
      <w:r w:rsidR="00013128" w:rsidRPr="00013128">
        <w:t>[6]</w:t>
      </w:r>
      <w:r w:rsidR="00013128">
        <w:rPr>
          <w:rFonts w:asciiTheme="majorBidi" w:hAnsiTheme="majorBidi" w:cstheme="majorBidi"/>
        </w:rPr>
        <w:fldChar w:fldCharType="end"/>
      </w:r>
      <w:r w:rsidRPr="006B581B">
        <w:rPr>
          <w:rFonts w:asciiTheme="majorBidi" w:hAnsiTheme="majorBidi" w:cstheme="majorBidi"/>
        </w:rPr>
        <w:t xml:space="preserve">. Although another study displayed the tree diversity of the Ramna area of Dhaka while identifying threats like construction activities and exotic species. Native species were advocated in the study for promoting urban biodiversity </w:t>
      </w:r>
      <w:r w:rsidR="00013128">
        <w:rPr>
          <w:rFonts w:asciiTheme="majorBidi" w:hAnsiTheme="majorBidi" w:cstheme="majorBidi"/>
        </w:rPr>
        <w:fldChar w:fldCharType="begin"/>
      </w:r>
      <w:r w:rsidR="00013128">
        <w:rPr>
          <w:rFonts w:asciiTheme="majorBidi" w:hAnsiTheme="majorBidi" w:cstheme="majorBidi"/>
        </w:rPr>
        <w:instrText xml:space="preserve"> ADDIN ZOTERO_ITEM CSL_CITATION {"citationID":"npvbrsFk","properties":{"formattedCitation":"[7]","plainCitation":"[7]","noteIndex":0},"citationItems":[{"id":80,"uris":["http://zotero.org/users/local/bx3xsK79/items/FPGUQ645"],"itemData":{"id":80,"type":"article-journal","abstract":"The present article deals with the evaluation of the existing tree species diversity in the Ramna areas of Dhaka city. Both random and stratified random quadrat sampling were used for the data collection from July 2021 to June 2022. The study identified a total of 156 tree species in 46 families. Among the sampling areas, 115 tree species were found in Ramna Park, 61 tree species in Suhrawardy Udyan, and 98 tree species in the Dhaka University area. The sampling areas overlapped significantly with many tree species. Among the species, 33% of the species were of ornamental value, followed by timber (24%), medicinal (21%), fruit (19%), and wildlife-supporting (3%). 51% of the species belonged to exotics and 49% were native. The most abundant species were Swietenia mahagoni in Ramna Park and Dhaka University and Eucalyptus camaldulensis in Suhrawardy Udyan. Based on the important value index, the most dominant species were S mahagoni in Ramna Park and Dhaka University and Ficus elastica in Suhrawardy Udyan. Among the top 15 most abundant and dominant trees, nine belonged to exotics, and the rest were native. The Shannon diversity index value ranged from 3.83 to 4.39. Ramna Park showed the highest index value (4.39), followed by Dhaka University (3.91) and Suhrawardy Udyan (3.83). Stakeholder’s consultations revealed that on average 90% of the support was found for management strategies such as native enrichment, reducing exotic dominance, planting purposeful trees, heritage plantations, and expert consultation during plantation. Identified threats included construction works, exotic presence, lack of native seedlings, and low awareness. Recommendations include promoting the dominance of native species, gradual exotic replacement, enhancing wildlife-supporting species, increasing public awareness, and integrating expert opinions into urban plantation programs.\nBangladesh J. Bot. 53(3): 605-617, 2024 (September)","container-title":"Bangladesh Journal of Botany","DOI":"10.3329/bjb.v53i3.76311","ISSN":"2079-9926, 0253-5416","issue":"3","journalAbbreviation":"Bangladesh J. Bot.","page":"605-617","source":"DOI.org (Crossref)","title":"Assessent of tree diversity in the vegetation of ramna areas of dhaka city for better management","volume":"53","author":[{"family":"Shila","given":"Monika Afroz"},{"family":"Shomrat","given":"Abulais"},{"family":"Uddin","given":"Mohammad Zashim"}],"issued":{"date-parts":[["2024",9,29]]}}}],"schema":"https://github.com/citation-style-language/schema/raw/master/csl-citation.json"} </w:instrText>
      </w:r>
      <w:r w:rsidR="00013128">
        <w:rPr>
          <w:rFonts w:asciiTheme="majorBidi" w:hAnsiTheme="majorBidi" w:cstheme="majorBidi"/>
        </w:rPr>
        <w:fldChar w:fldCharType="separate"/>
      </w:r>
      <w:r w:rsidR="00013128" w:rsidRPr="00013128">
        <w:t>[7]</w:t>
      </w:r>
      <w:r w:rsidR="00013128">
        <w:rPr>
          <w:rFonts w:asciiTheme="majorBidi" w:hAnsiTheme="majorBidi" w:cstheme="majorBidi"/>
        </w:rPr>
        <w:fldChar w:fldCharType="end"/>
      </w:r>
      <w:r w:rsidRPr="006B581B">
        <w:rPr>
          <w:rFonts w:asciiTheme="majorBidi" w:hAnsiTheme="majorBidi" w:cstheme="majorBidi"/>
        </w:rPr>
        <w:t xml:space="preserve">. The population growth of Aedes aegypti mosquitoes in Dhaka found that urban areas had faster larval development than suburban or rural sites. Evidence shows that the combination of impervious surfaces and habitat heterogeneity influences bird richness patterns in urban areas of South Asia, inferring that cities with varied habitats can sustain higher avian diversity amidst urban pressure </w:t>
      </w:r>
      <w:r w:rsidR="00013128">
        <w:rPr>
          <w:rFonts w:asciiTheme="majorBidi" w:hAnsiTheme="majorBidi" w:cstheme="majorBidi"/>
        </w:rPr>
        <w:fldChar w:fldCharType="begin"/>
      </w:r>
      <w:r w:rsidR="00013128">
        <w:rPr>
          <w:rFonts w:asciiTheme="majorBidi" w:hAnsiTheme="majorBidi" w:cstheme="majorBidi"/>
        </w:rPr>
        <w:instrText xml:space="preserve"> ADDIN ZOTERO_ITEM CSL_CITATION {"citationID":"yQHL6vgQ","properties":{"formattedCitation":"[8]","plainCitation":"[8]","noteIndex":0},"citationItems":[{"id":82,"uris":["http://zotero.org/users/local/bx3xsK79/items/4STYDKTW"],"itemData":{"id":82,"type":"article-journal","abstract":"The impact of urbanization on various parameters related to Aedes aegypti, the vector responsible for dengue transmission, was assessed in the present study. Extensive larval population surveys were conducted from May to December 2022 across different urbanization levels in Dhaka city. Our survey was conducted in three areas: Uttara (23°52’ N, 90°22\" E), Jatrabari (23°42’ N, 90°25\" E), and Keranigonj (23°69’ N, 90°37\" E) that characterized urban, suburban, and rural settings, respectively. The urban areas represented highly populated regions with a high concentration of anthropogenic structures, while the suburban areas encompassed a mix of residential and natural landscapes. The rural areas consisted of predominantly natural habitats with minimal human intervention. The findings revealed significant variations in larval abundance, larval development, egg production, and longevity. Notably, the urban areas exhibited the highest larval abundance compared to the suburban and the rural areas. Furthermore, in urban settings, the larval instars demonstrated accelerated growth compared to their counterparts in the suburban and the rural environment. The urban locales also witnessed a greater number of eggs and female adults displayed an extended lifespan compared to the suburban and the rural areas. The cumulative effects of urbanization resulted in heightened larval abundance, faster developmental rates, increased egg production, and prolonged survival period. These factors collectively contribute to an elevated vector capacity of adult mosquitoes. Considering the potential impact of Ae. aegypti on public health, it is imperative to establish entomological surveillance and control strategies tailored to diverse urbanization gradients. Developing mosquito control policies become crucial, with a focus on preventative measures to manage Ae. aegypti mosquitoes effectively within urban structures.\nBangladesh J. Zool. 52(2): 201-215, 2024","container-title":"Bangladesh Journal of Zoology","DOI":"10.3329/bjz.v52i2.77460","ISSN":"2408-8455, 0304-9027","issue":"2","journalAbbreviation":"Bangladesh J. Zool.","page":"201-215","source":"DOI.org (Crossref)","title":"The impact of Urbanization on the Proliferation of Aedes Aegypti (Diptera: Culicidae) Mosquito Population in Dhaka Mega City, Bangladesh","title-short":"The impact of Urbanization on the Proliferation of Aedes Aegypti (Diptera","volume":"52","author":[{"family":"Sultana","given":"Afroza"},{"family":"Islam","given":"Ashiqul"},{"family":"Hosna","given":"Asmaul"},{"family":"Tahsin","given":"Anika"},{"family":"Islam","given":"Ashekul"}],"issued":{"date-parts":[["2024",11,7]]}}}],"schema":"https://github.com/citation-style-language/schema/raw/master/csl-citation.json"} </w:instrText>
      </w:r>
      <w:r w:rsidR="00013128">
        <w:rPr>
          <w:rFonts w:asciiTheme="majorBidi" w:hAnsiTheme="majorBidi" w:cstheme="majorBidi"/>
        </w:rPr>
        <w:fldChar w:fldCharType="separate"/>
      </w:r>
      <w:r w:rsidR="00013128" w:rsidRPr="00013128">
        <w:t>[8]</w:t>
      </w:r>
      <w:r w:rsidR="00013128">
        <w:rPr>
          <w:rFonts w:asciiTheme="majorBidi" w:hAnsiTheme="majorBidi" w:cstheme="majorBidi"/>
        </w:rPr>
        <w:fldChar w:fldCharType="end"/>
      </w:r>
      <w:r w:rsidRPr="006B581B">
        <w:rPr>
          <w:rFonts w:asciiTheme="majorBidi" w:hAnsiTheme="majorBidi" w:cstheme="majorBidi"/>
        </w:rPr>
        <w:t xml:space="preserve">. Another study analyzed the dynamics of land use and land cover across four cities: Mumbai, Colombo, Karachi, and Dhaka. Urbanization trends mapped through Sentinel-2 data showed a sharp diminution of green spaces and further decline in the ecosystem service value </w:t>
      </w:r>
      <w:r w:rsidR="00013128">
        <w:rPr>
          <w:rFonts w:asciiTheme="majorBidi" w:hAnsiTheme="majorBidi" w:cstheme="majorBidi"/>
        </w:rPr>
        <w:fldChar w:fldCharType="begin"/>
      </w:r>
      <w:r w:rsidR="00013128">
        <w:rPr>
          <w:rFonts w:asciiTheme="majorBidi" w:hAnsiTheme="majorBidi" w:cstheme="majorBidi"/>
        </w:rPr>
        <w:instrText xml:space="preserve"> ADDIN ZOTERO_ITEM CSL_CITATION {"citationID":"cZ63Sl95","properties":{"formattedCitation":"[9]","plainCitation":"[9]","noteIndex":0},"citationItems":[{"id":83,"uris":["http://zotero.org/users/local/bx3xsK79/items/ZDUFH5A2"],"itemData":{"id":83,"type":"article-journal","abstract":"The rapid and dominant urbanization in Asian cities has fueled concerns regarding the local and global efforts toward urban sustainability. Specifically, South Asian cities have been a topical issue concerning ecological and environmental threats due to their unplanned and haphazard urban development. However, comparative urbanization studies in South Asian cities remain uncommon. Therefore, in this study, we sought to comparatively examine the land use and land cover (LULC) dynamics and to detect the urbanization patterns of four rapidly developing South Asian lowland cities: Mumbai (India), Colombo (Sri Lanka), Karachi (Pakistan), and Dhaka (Bangladesh). Sentinel-2 (10 m) data and various geospatial approaches, including urban–rural gradient and grid-based methods, statistics, and urban landscape metric techniques, were used to facilitate the analysis. The study revealed that Mumbai, Karachi, and Dhaka had larger built-up landscapes compared to Colombo. Mumbai had the highest percentage of green spaces, followed by Colombo. Dhaka and Karachi had relatively small percentages of green spaces. Colombo and Dhaka had more croplands, which consistently increased along the urban–rural gradient compared to Mumbai and Karachi. Karachi showed that the only major land use was built-up, while most of the areas were left as open lands. On the other hand, Colombo’s urban setup was more fragmented than the other three cities. Mumbai and Karachi had larger patches of urban footprints compared to Colombo and Dhaka. Thus, this study provides vital information on the past land utilization priorities in the four cities, and comparatively proffers guidance on certain critical areas of focus for local, regional, and global future sustainable urban planning.","container-title":"Remote Sensing","DOI":"10.3390/rs13081531","ISSN":"2072-4292","issue":"8","journalAbbreviation":"Remote Sensing","language":"en","license":"https://creativecommons.org/licenses/by/4.0/","page":"1531","source":"DOI.org (Crossref)","title":"Spatial Analysis of Urbanization Patterns in Four Rapidly Growing South Asian Cities Using Sentinel-2 Data","volume":"13","author":[{"family":"Ranagalage","given":"Manjula"},{"family":"Morimoto","given":"Takehiro"},{"family":"Simwanda","given":"Matamyo"},{"family":"Murayama","given":"Yuji"}],"issued":{"date-parts":[["2021",4,15]]}}}],"schema":"https://github.com/citation-style-language/schema/raw/master/csl-citation.json"} </w:instrText>
      </w:r>
      <w:r w:rsidR="00013128">
        <w:rPr>
          <w:rFonts w:asciiTheme="majorBidi" w:hAnsiTheme="majorBidi" w:cstheme="majorBidi"/>
        </w:rPr>
        <w:fldChar w:fldCharType="separate"/>
      </w:r>
      <w:r w:rsidR="00013128" w:rsidRPr="00013128">
        <w:t>[9]</w:t>
      </w:r>
      <w:r w:rsidR="00013128">
        <w:rPr>
          <w:rFonts w:asciiTheme="majorBidi" w:hAnsiTheme="majorBidi" w:cstheme="majorBidi"/>
        </w:rPr>
        <w:fldChar w:fldCharType="end"/>
      </w:r>
      <w:r w:rsidRPr="006B581B">
        <w:rPr>
          <w:rFonts w:asciiTheme="majorBidi" w:hAnsiTheme="majorBidi" w:cstheme="majorBidi"/>
        </w:rPr>
        <w:t>. Another prior study investigated urbanization and biodiversity in Bhubaneswar, India, and pinpointed significant habitat fragmentation and loss of biodiversity hotspots due to rapid urban expansion</w:t>
      </w:r>
      <w:r w:rsidR="008734CB">
        <w:rPr>
          <w:rFonts w:asciiTheme="majorBidi" w:hAnsiTheme="majorBidi" w:cstheme="majorBidi"/>
        </w:rPr>
        <w:t xml:space="preserve"> </w:t>
      </w:r>
      <w:r w:rsidR="008734CB">
        <w:rPr>
          <w:rFonts w:asciiTheme="majorBidi" w:hAnsiTheme="majorBidi" w:cstheme="majorBidi"/>
        </w:rPr>
        <w:fldChar w:fldCharType="begin"/>
      </w:r>
      <w:r w:rsidR="008734CB">
        <w:rPr>
          <w:rFonts w:asciiTheme="majorBidi" w:hAnsiTheme="majorBidi" w:cstheme="majorBidi"/>
        </w:rPr>
        <w:instrText xml:space="preserve"> ADDIN ZOTERO_ITEM CSL_CITATION {"citationID":"PVW9hVpX","properties":{"formattedCitation":"[10]","plainCitation":"[10]","noteIndex":0},"citationItems":[{"id":85,"uris":["http://zotero.org/users/local/bx3xsK79/items/GXCVV23F"],"itemData":{"id":85,"type":"article-journal","container-title":"Journal of Remote Sensing &amp; GIS","ISSN":"22307990","issue":"3","journalAbbreviation":"JoRSG","page":"20-28","source":"DOI.org (Crossref)","title":"Impact of Urbanization on Biodiversity Hotspot: A Case of Bhubaneswar City","volume":"15","author":[{"family":"Behera","given":"Pravasini"},{"family":"Rout","given":"Jajnaseni"},{"family":"Mohanty","given":"Dibya Jyoti"}],"issued":{"date-parts":[["2024"]]}}}],"schema":"https://github.com/citation-style-language/schema/raw/master/csl-citation.json"} </w:instrText>
      </w:r>
      <w:r w:rsidR="008734CB">
        <w:rPr>
          <w:rFonts w:asciiTheme="majorBidi" w:hAnsiTheme="majorBidi" w:cstheme="majorBidi"/>
        </w:rPr>
        <w:fldChar w:fldCharType="separate"/>
      </w:r>
      <w:r w:rsidR="008734CB" w:rsidRPr="008734CB">
        <w:t>[10]</w:t>
      </w:r>
      <w:r w:rsidR="008734CB">
        <w:rPr>
          <w:rFonts w:asciiTheme="majorBidi" w:hAnsiTheme="majorBidi" w:cstheme="majorBidi"/>
        </w:rPr>
        <w:fldChar w:fldCharType="end"/>
      </w:r>
      <w:r w:rsidRPr="006B581B">
        <w:rPr>
          <w:rFonts w:asciiTheme="majorBidi" w:hAnsiTheme="majorBidi" w:cstheme="majorBidi"/>
        </w:rPr>
        <w:t>. An extensive study of urban wildlife in Dhaka documented an impressive 209 species from various areas. The study indicates the importance of urban habitats for wildlife and the need for conservation intervention in the urban context</w:t>
      </w:r>
      <w:r w:rsidR="008734CB">
        <w:rPr>
          <w:rFonts w:asciiTheme="majorBidi" w:hAnsiTheme="majorBidi" w:cstheme="majorBidi"/>
        </w:rPr>
        <w:t xml:space="preserve"> </w:t>
      </w:r>
      <w:r w:rsidR="008734CB">
        <w:rPr>
          <w:rFonts w:asciiTheme="majorBidi" w:hAnsiTheme="majorBidi" w:cstheme="majorBidi"/>
        </w:rPr>
        <w:fldChar w:fldCharType="begin"/>
      </w:r>
      <w:r w:rsidR="008734CB">
        <w:rPr>
          <w:rFonts w:asciiTheme="majorBidi" w:hAnsiTheme="majorBidi" w:cstheme="majorBidi"/>
        </w:rPr>
        <w:instrText xml:space="preserve"> ADDIN ZOTERO_ITEM CSL_CITATION {"citationID":"lddENB1c","properties":{"formattedCitation":"[11]","plainCitation":"[11]","noteIndex":0},"citationItems":[{"id":86,"uris":["http://zotero.org/users/local/bx3xsK79/items/QH6MWYRQ"],"itemData":{"id":86,"type":"article-journal","container-title":"Biodiversity Journal","DOI":"10.31396/Biodiv.Jour.2021.12.3.635.653","ISSN":"20390394, 20390408","issue":"3","journalAbbreviation":"Biodiversity Journal","page":"635-653","source":"DOI.org (Crossref)","title":"Species diversity, distribution and habitat utilization of urban wildlife in a megacity of Bangladesh","volume":"12","author":[{"family":"Firoj Jaman","given":"Mohammad"},{"family":"Razzaque Sarker","given":"Abdur"},{"family":"Alam","given":"Mahabub"},{"family":"Rahman","given":"Mokhlesur"},{"family":"Rabbe","given":"Fazle"},{"family":"Rana","given":"Abu Sayeed"},{"family":"Shome","given":"Ashikur Rahman"},{"family":"Hossain","given":"Sakhawat"}],"issued":{"date-parts":[["2021",9,30]]}}}],"schema":"https://github.com/citation-style-language/schema/raw/master/csl-citation.json"} </w:instrText>
      </w:r>
      <w:r w:rsidR="008734CB">
        <w:rPr>
          <w:rFonts w:asciiTheme="majorBidi" w:hAnsiTheme="majorBidi" w:cstheme="majorBidi"/>
        </w:rPr>
        <w:fldChar w:fldCharType="separate"/>
      </w:r>
      <w:r w:rsidR="008734CB" w:rsidRPr="008734CB">
        <w:t>[11]</w:t>
      </w:r>
      <w:r w:rsidR="008734CB">
        <w:rPr>
          <w:rFonts w:asciiTheme="majorBidi" w:hAnsiTheme="majorBidi" w:cstheme="majorBidi"/>
        </w:rPr>
        <w:fldChar w:fldCharType="end"/>
      </w:r>
      <w:r w:rsidRPr="006B581B">
        <w:rPr>
          <w:rFonts w:asciiTheme="majorBidi" w:hAnsiTheme="majorBidi" w:cstheme="majorBidi"/>
        </w:rPr>
        <w:t>. Another study of urbanization in Concepcion, Chile, where rapid urban growth influences habitat fragmentation and introduces non-native species, resulting in increased homogenization of biodiversity</w:t>
      </w:r>
      <w:r w:rsidR="008734CB">
        <w:rPr>
          <w:rFonts w:asciiTheme="majorBidi" w:hAnsiTheme="majorBidi" w:cstheme="majorBidi"/>
        </w:rPr>
        <w:t xml:space="preserve"> </w:t>
      </w:r>
      <w:r w:rsidR="008734CB">
        <w:rPr>
          <w:rFonts w:asciiTheme="majorBidi" w:hAnsiTheme="majorBidi" w:cstheme="majorBidi"/>
        </w:rPr>
        <w:fldChar w:fldCharType="begin"/>
      </w:r>
      <w:r w:rsidR="008734CB">
        <w:rPr>
          <w:rFonts w:asciiTheme="majorBidi" w:hAnsiTheme="majorBidi" w:cstheme="majorBidi"/>
        </w:rPr>
        <w:instrText xml:space="preserve"> ADDIN ZOTERO_ITEM CSL_CITATION {"citationID":"Nev3wvkL","properties":{"formattedCitation":"[12]","plainCitation":"[12]","noteIndex":0},"citationItems":[{"id":88,"uris":["http://zotero.org/users/local/bx3xsK79/items/QJVVHQ3K"],"itemData":{"id":88,"type":"article-journal","container-title":"Biological Conservation","DOI":"10.1016/j.biocon.2005.05.015","ISSN":"00063207","issue":"3","journalAbbreviation":"Biological Conservation","language":"en","license":"https://www.elsevier.com/tdm/userlicense/1.0/","page":"272-281","source":"DOI.org (Crossref)","title":"Multiple effects of urbanization on the biodiversity of developing countries: The case of a fast-growing metropolitan area (Concepción, Chile)","title-short":"Multiple effects of urbanization on the biodiversity of developing countries","volume":"127","author":[{"family":"Pauchard","given":"Aníbal"},{"family":"Aguayo","given":"Mauricio"},{"family":"Peña","given":"Eduardo"},{"family":"Urrutia","given":"Roberto"}],"issued":{"date-parts":[["2006",1]]}}}],"schema":"https://github.com/citation-style-language/schema/raw/master/csl-citation.json"} </w:instrText>
      </w:r>
      <w:r w:rsidR="008734CB">
        <w:rPr>
          <w:rFonts w:asciiTheme="majorBidi" w:hAnsiTheme="majorBidi" w:cstheme="majorBidi"/>
        </w:rPr>
        <w:fldChar w:fldCharType="separate"/>
      </w:r>
      <w:r w:rsidR="008734CB" w:rsidRPr="008734CB">
        <w:t>[12]</w:t>
      </w:r>
      <w:r w:rsidR="008734CB">
        <w:rPr>
          <w:rFonts w:asciiTheme="majorBidi" w:hAnsiTheme="majorBidi" w:cstheme="majorBidi"/>
        </w:rPr>
        <w:fldChar w:fldCharType="end"/>
      </w:r>
      <w:r w:rsidRPr="006B581B">
        <w:rPr>
          <w:rFonts w:asciiTheme="majorBidi" w:hAnsiTheme="majorBidi" w:cstheme="majorBidi"/>
        </w:rPr>
        <w:t>.</w:t>
      </w:r>
    </w:p>
    <w:p w14:paraId="55D56508" w14:textId="4CB182BF" w:rsidR="00D87E2A" w:rsidRPr="00A24F3D" w:rsidRDefault="006B581B" w:rsidP="00336DA8">
      <w:pPr>
        <w:pStyle w:val="Paragraph"/>
        <w:ind w:firstLine="288"/>
      </w:pPr>
      <w:r w:rsidRPr="006B581B">
        <w:rPr>
          <w:rFonts w:asciiTheme="majorBidi" w:hAnsiTheme="majorBidi" w:cstheme="majorBidi"/>
        </w:rPr>
        <w:t>These studies indicate the significance of the effects urbanization has had on the biodiversity and ecosystem services of Bangladesh. The reduction of green spaces to a significant degree and habitat loss, therefore, merit integrated urban planning and conservation strategies as an immediate priority. Finally, sustainable land use policies and protection of urban green spaces are needed to minimize biodiversity loss while maintaining ecological balance in fast urbanizing areas.</w:t>
      </w:r>
    </w:p>
    <w:p w14:paraId="4A1CFC49" w14:textId="7F7AED53" w:rsidR="003B0151" w:rsidRDefault="003B0151" w:rsidP="00643B41">
      <w:pPr>
        <w:pStyle w:val="Heading1"/>
        <w:rPr>
          <w:b w:val="0"/>
          <w:caps w:val="0"/>
          <w:sz w:val="20"/>
        </w:rPr>
      </w:pPr>
      <w:r>
        <w:rPr>
          <w:rFonts w:asciiTheme="majorBidi" w:hAnsiTheme="majorBidi" w:cstheme="majorBidi"/>
        </w:rPr>
        <w:t>methodology</w:t>
      </w:r>
    </w:p>
    <w:p w14:paraId="0A4DBA37" w14:textId="246554DA" w:rsidR="006B581B" w:rsidRPr="006B581B" w:rsidRDefault="006B581B" w:rsidP="00336DA8">
      <w:pPr>
        <w:pStyle w:val="Paragraph"/>
        <w:ind w:firstLine="288"/>
        <w:rPr>
          <w:rFonts w:asciiTheme="majorBidi" w:hAnsiTheme="majorBidi" w:cstheme="majorBidi"/>
        </w:rPr>
      </w:pPr>
      <w:r w:rsidRPr="006B581B">
        <w:rPr>
          <w:rFonts w:asciiTheme="majorBidi" w:hAnsiTheme="majorBidi" w:cstheme="majorBidi"/>
        </w:rPr>
        <w:t xml:space="preserve">To do this study, the data were gathered from the Bangladesh Bureau of Statistics (BBS), the World Bank, the Bangladesh Environmental Lawyers Association (BELA), and the International Union for Conservation of Nature (IUCN) </w:t>
      </w:r>
      <w:r w:rsidR="008734CB">
        <w:rPr>
          <w:rFonts w:asciiTheme="majorBidi" w:hAnsiTheme="majorBidi" w:cstheme="majorBidi"/>
        </w:rPr>
        <w:fldChar w:fldCharType="begin"/>
      </w:r>
      <w:r w:rsidR="008734CB">
        <w:rPr>
          <w:rFonts w:asciiTheme="majorBidi" w:hAnsiTheme="majorBidi" w:cstheme="majorBidi"/>
        </w:rPr>
        <w:instrText xml:space="preserve"> ADDIN ZOTERO_ITEM CSL_CITATION {"citationID":"QB4kxxN5","properties":{"formattedCitation":"[2]","plainCitation":"[2]","noteIndex":0},"citationItems":[{"id":72,"uris":["http://zotero.org/users/local/bx3xsK79/items/9I2MBJTP"],"itemData":{"id":72,"type":"book","event-place":"Dhaka, Bangladesh","ISBN":"978-984-34-0733-7","language":"eng","note":"OCLC: 987156122","publisher":"IUCN, International Union for Conservation of Nature, Bangladesh Country Office","publisher-place":"Dhaka, Bangladesh","source":"Open WorldCat","title":"Red list of Bangladesh","author":[{"family":"Khan","given":"Mohammad Ali Reza"},{"family":"Chowdhury","given":"Mohammad Shahad Mahabub"}],"issued":{"date-parts":[["2015"]]}}}],"schema":"https://github.com/citation-style-language/schema/raw/master/csl-citation.json"} </w:instrText>
      </w:r>
      <w:r w:rsidR="008734CB">
        <w:rPr>
          <w:rFonts w:asciiTheme="majorBidi" w:hAnsiTheme="majorBidi" w:cstheme="majorBidi"/>
        </w:rPr>
        <w:fldChar w:fldCharType="separate"/>
      </w:r>
      <w:r w:rsidR="008734CB" w:rsidRPr="008734CB">
        <w:t>[2]</w:t>
      </w:r>
      <w:r w:rsidR="008734CB">
        <w:rPr>
          <w:rFonts w:asciiTheme="majorBidi" w:hAnsiTheme="majorBidi" w:cstheme="majorBidi"/>
        </w:rPr>
        <w:fldChar w:fldCharType="end"/>
      </w:r>
      <w:r w:rsidRPr="006B581B">
        <w:rPr>
          <w:rFonts w:asciiTheme="majorBidi" w:hAnsiTheme="majorBidi" w:cstheme="majorBidi"/>
        </w:rPr>
        <w:t xml:space="preserve">, </w:t>
      </w:r>
      <w:r w:rsidR="008734CB">
        <w:rPr>
          <w:rFonts w:asciiTheme="majorBidi" w:hAnsiTheme="majorBidi" w:cstheme="majorBidi"/>
        </w:rPr>
        <w:fldChar w:fldCharType="begin"/>
      </w:r>
      <w:r w:rsidR="008734CB">
        <w:rPr>
          <w:rFonts w:asciiTheme="majorBidi" w:hAnsiTheme="majorBidi" w:cstheme="majorBidi"/>
        </w:rPr>
        <w:instrText xml:space="preserve"> ADDIN ZOTERO_ITEM CSL_CITATION {"citationID":"TjsEbkul","properties":{"formattedCitation":"[13]","plainCitation":"[13]","noteIndex":0},"citationItems":[{"id":89,"uris":["http://zotero.org/users/local/bx3xsK79/items/LRZVZS8A"],"itemData":{"id":89,"type":"book","event-place":"Dhaka","ISBN":"978-984-475-109-5","language":"eng","note":"OCLC: 1433301177","publisher":"Bangladesh Bureau of Statistics, Statistics and Informatics Division, Ministry of Planning, Government of the People's Republic of Bangladesh","publisher-place":"Dhaka","source":"Open WorldCat","title":"Agriculture census 2019: Structure of Agricultural Holdings and Livestock &amp; Fisheries, National Series","title-short":"Agriculture census 2019","volume":"1","author":[{"family":"(BBS)","given":"Bangladesh Bureau of Statistics"}],"issued":{"date-parts":[["2022"]]}}}],"schema":"https://github.com/citation-style-language/schema/raw/master/csl-citation.json"} </w:instrText>
      </w:r>
      <w:r w:rsidR="008734CB">
        <w:rPr>
          <w:rFonts w:asciiTheme="majorBidi" w:hAnsiTheme="majorBidi" w:cstheme="majorBidi"/>
        </w:rPr>
        <w:fldChar w:fldCharType="separate"/>
      </w:r>
      <w:r w:rsidR="008734CB" w:rsidRPr="008734CB">
        <w:t>[13]</w:t>
      </w:r>
      <w:r w:rsidR="008734CB">
        <w:rPr>
          <w:rFonts w:asciiTheme="majorBidi" w:hAnsiTheme="majorBidi" w:cstheme="majorBidi"/>
        </w:rPr>
        <w:fldChar w:fldCharType="end"/>
      </w:r>
      <w:r w:rsidRPr="006B581B">
        <w:rPr>
          <w:rFonts w:asciiTheme="majorBidi" w:hAnsiTheme="majorBidi" w:cstheme="majorBidi"/>
        </w:rPr>
        <w:t xml:space="preserve">, </w:t>
      </w:r>
      <w:r w:rsidR="00544E84">
        <w:rPr>
          <w:rFonts w:asciiTheme="majorBidi" w:hAnsiTheme="majorBidi" w:cstheme="majorBidi"/>
        </w:rPr>
        <w:fldChar w:fldCharType="begin"/>
      </w:r>
      <w:r w:rsidR="00544E84">
        <w:rPr>
          <w:rFonts w:asciiTheme="majorBidi" w:hAnsiTheme="majorBidi" w:cstheme="majorBidi"/>
        </w:rPr>
        <w:instrText xml:space="preserve"> ADDIN ZOTERO_ITEM CSL_CITATION {"citationID":"mbJHmTb7","properties":{"formattedCitation":"[14]","plainCitation":"[14]","noteIndex":0},"citationItems":[{"id":91,"uris":["http://zotero.org/users/local/bx3xsK79/items/T8UZRDDT"],"itemData":{"id":91,"type":"report","event-place":"Dhaka, Bangladesh","language":"en","publisher":"Bangladesh Environmental Lawyers Association","publisher-place":"Dhaka, Bangladesh","title":"Annual Report","author":[{"family":"(BELA)","given":"Bangladesh Environmental Lawyers Association"}]}}],"schema":"https://github.com/citation-style-language/schema/raw/master/csl-citation.json"} </w:instrText>
      </w:r>
      <w:r w:rsidR="00544E84">
        <w:rPr>
          <w:rFonts w:asciiTheme="majorBidi" w:hAnsiTheme="majorBidi" w:cstheme="majorBidi"/>
        </w:rPr>
        <w:fldChar w:fldCharType="separate"/>
      </w:r>
      <w:r w:rsidR="00544E84" w:rsidRPr="00544E84">
        <w:t>[14]</w:t>
      </w:r>
      <w:r w:rsidR="00544E84">
        <w:rPr>
          <w:rFonts w:asciiTheme="majorBidi" w:hAnsiTheme="majorBidi" w:cstheme="majorBidi"/>
        </w:rPr>
        <w:fldChar w:fldCharType="end"/>
      </w:r>
      <w:r w:rsidRPr="006B581B">
        <w:rPr>
          <w:rFonts w:asciiTheme="majorBidi" w:hAnsiTheme="majorBidi" w:cstheme="majorBidi"/>
        </w:rPr>
        <w:t xml:space="preserve">, </w:t>
      </w:r>
      <w:r w:rsidR="00544E84">
        <w:rPr>
          <w:rFonts w:asciiTheme="majorBidi" w:hAnsiTheme="majorBidi" w:cstheme="majorBidi"/>
        </w:rPr>
        <w:fldChar w:fldCharType="begin"/>
      </w:r>
      <w:r w:rsidR="00544E84">
        <w:rPr>
          <w:rFonts w:asciiTheme="majorBidi" w:hAnsiTheme="majorBidi" w:cstheme="majorBidi"/>
        </w:rPr>
        <w:instrText xml:space="preserve"> ADDIN ZOTERO_ITEM CSL_CITATION {"citationID":"p0Gbmnen","properties":{"formattedCitation":"[15]","plainCitation":"[15]","noteIndex":0},"citationItems":[{"id":93,"uris":["http://zotero.org/users/local/bx3xsK79/items/2IKRN7X8"],"itemData":{"id":93,"type":"report","language":"en","publisher":"The World Bank","title":"Bangladesh Development Update Vol 1","author":[{"family":"Bank","given":"World"}],"issued":{"date-parts":[["2024",4]]}}}],"schema":"https://github.com/citation-style-language/schema/raw/master/csl-citation.json"} </w:instrText>
      </w:r>
      <w:r w:rsidR="00544E84">
        <w:rPr>
          <w:rFonts w:asciiTheme="majorBidi" w:hAnsiTheme="majorBidi" w:cstheme="majorBidi"/>
        </w:rPr>
        <w:fldChar w:fldCharType="separate"/>
      </w:r>
      <w:r w:rsidR="00544E84" w:rsidRPr="00544E84">
        <w:t>[15]</w:t>
      </w:r>
      <w:r w:rsidR="00544E84">
        <w:rPr>
          <w:rFonts w:asciiTheme="majorBidi" w:hAnsiTheme="majorBidi" w:cstheme="majorBidi"/>
        </w:rPr>
        <w:fldChar w:fldCharType="end"/>
      </w:r>
      <w:r w:rsidRPr="006B581B">
        <w:rPr>
          <w:rFonts w:asciiTheme="majorBidi" w:hAnsiTheme="majorBidi" w:cstheme="majorBidi"/>
        </w:rPr>
        <w:t xml:space="preserve">, </w:t>
      </w:r>
      <w:r w:rsidR="00D96A14">
        <w:rPr>
          <w:rFonts w:asciiTheme="majorBidi" w:hAnsiTheme="majorBidi" w:cstheme="majorBidi"/>
        </w:rPr>
        <w:fldChar w:fldCharType="begin"/>
      </w:r>
      <w:r w:rsidR="00D96A14">
        <w:rPr>
          <w:rFonts w:asciiTheme="majorBidi" w:hAnsiTheme="majorBidi" w:cstheme="majorBidi"/>
        </w:rPr>
        <w:instrText xml:space="preserve"> ADDIN ZOTERO_ITEM CSL_CITATION {"citationID":"NYjckRvG","properties":{"formattedCitation":"[16]","plainCitation":"[16]","noteIndex":0},"citationItems":[{"id":94,"uris":["http://zotero.org/users/local/bx3xsK79/items/F855CBVH"],"itemData":{"id":94,"type":"book","edition":"43","event-place":"Dhaka, Bangladesh","ISBN":"978-984-475-091-3","language":"en","number-of-pages":"631","publisher":"Bangladesh Bureau of Statistics, Statistics and Informatics Division, Ministry of Planning, Government of the People's Republic of Bangladesh","publisher-place":"Dhaka, Bangladesh","title":"Statistical Yearbook Bangladesh 2023","author":[{"family":"(BBS)","given":"Bangladesh Bureau of Statistics"}],"issued":{"date-parts":[["2024",6]]}}}],"schema":"https://github.com/citation-style-language/schema/raw/master/csl-citation.json"} </w:instrText>
      </w:r>
      <w:r w:rsidR="00D96A14">
        <w:rPr>
          <w:rFonts w:asciiTheme="majorBidi" w:hAnsiTheme="majorBidi" w:cstheme="majorBidi"/>
        </w:rPr>
        <w:fldChar w:fldCharType="separate"/>
      </w:r>
      <w:r w:rsidR="00D96A14" w:rsidRPr="00D96A14">
        <w:t>[16]</w:t>
      </w:r>
      <w:r w:rsidR="00D96A14">
        <w:rPr>
          <w:rFonts w:asciiTheme="majorBidi" w:hAnsiTheme="majorBidi" w:cstheme="majorBidi"/>
        </w:rPr>
        <w:fldChar w:fldCharType="end"/>
      </w:r>
      <w:r w:rsidRPr="006B581B">
        <w:rPr>
          <w:rFonts w:asciiTheme="majorBidi" w:hAnsiTheme="majorBidi" w:cstheme="majorBidi"/>
        </w:rPr>
        <w:t>.</w:t>
      </w:r>
    </w:p>
    <w:p w14:paraId="4B074620" w14:textId="6313CE23" w:rsidR="006B581B" w:rsidRPr="006B581B" w:rsidRDefault="006B581B" w:rsidP="00336DA8">
      <w:pPr>
        <w:pStyle w:val="Paragraph"/>
        <w:ind w:firstLine="288"/>
        <w:rPr>
          <w:rFonts w:asciiTheme="majorBidi" w:hAnsiTheme="majorBidi" w:cstheme="majorBidi"/>
        </w:rPr>
      </w:pPr>
      <w:r w:rsidRPr="006B581B">
        <w:rPr>
          <w:rFonts w:asciiTheme="majorBidi" w:hAnsiTheme="majorBidi" w:cstheme="majorBidi"/>
        </w:rPr>
        <w:t>Bangladesh’s biodiversity patterns were evaluated through a quantitative analysis of species populations, land resource allocation, and conservation practices. The study collected data on species diversity, habitat loss, ecological changes, human activities, and environmental policy initiatives. These datasets facilitated the exploration of multiple interrelated factors, allowing the projection of expected biodiversity trends in Bangladesh.</w:t>
      </w:r>
    </w:p>
    <w:p w14:paraId="55075815" w14:textId="7852463D" w:rsidR="003B0151" w:rsidRDefault="006B581B" w:rsidP="00336DA8">
      <w:pPr>
        <w:pStyle w:val="Paragraph"/>
        <w:ind w:firstLine="288"/>
        <w:rPr>
          <w:rFonts w:asciiTheme="majorBidi" w:hAnsiTheme="majorBidi" w:cstheme="majorBidi"/>
        </w:rPr>
      </w:pPr>
      <w:r w:rsidRPr="006B581B">
        <w:rPr>
          <w:rFonts w:asciiTheme="majorBidi" w:hAnsiTheme="majorBidi" w:cstheme="majorBidi"/>
        </w:rPr>
        <w:t>This study used correlation coefficients</w:t>
      </w:r>
      <w:r w:rsidR="00421348">
        <w:rPr>
          <w:rFonts w:asciiTheme="majorBidi" w:hAnsiTheme="majorBidi" w:cstheme="majorBidi"/>
        </w:rPr>
        <w:t xml:space="preserve"> (</w:t>
      </w:r>
      <w:r w:rsidR="00783EBD">
        <w:rPr>
          <w:rFonts w:asciiTheme="majorBidi" w:hAnsiTheme="majorBidi" w:cstheme="majorBidi"/>
        </w:rPr>
        <w:t xml:space="preserve">refer to </w:t>
      </w:r>
      <w:r w:rsidR="00421348">
        <w:rPr>
          <w:rFonts w:asciiTheme="majorBidi" w:hAnsiTheme="majorBidi" w:cstheme="majorBidi"/>
        </w:rPr>
        <w:t>Eq</w:t>
      </w:r>
      <w:r w:rsidR="00783EBD">
        <w:rPr>
          <w:rFonts w:asciiTheme="majorBidi" w:hAnsiTheme="majorBidi" w:cstheme="majorBidi"/>
        </w:rPr>
        <w:t>uation</w:t>
      </w:r>
      <w:r w:rsidR="00421348">
        <w:rPr>
          <w:rFonts w:asciiTheme="majorBidi" w:hAnsiTheme="majorBidi" w:cstheme="majorBidi"/>
        </w:rPr>
        <w:t xml:space="preserve"> </w:t>
      </w:r>
      <w:r w:rsidR="00783EBD">
        <w:rPr>
          <w:rFonts w:asciiTheme="majorBidi" w:hAnsiTheme="majorBidi" w:cstheme="majorBidi"/>
        </w:rPr>
        <w:t>(</w:t>
      </w:r>
      <w:r w:rsidR="00421348">
        <w:rPr>
          <w:rFonts w:asciiTheme="majorBidi" w:hAnsiTheme="majorBidi" w:cstheme="majorBidi"/>
        </w:rPr>
        <w:t>1)</w:t>
      </w:r>
      <w:r w:rsidR="00783EBD">
        <w:rPr>
          <w:rFonts w:asciiTheme="majorBidi" w:hAnsiTheme="majorBidi" w:cstheme="majorBidi"/>
        </w:rPr>
        <w:t>)</w:t>
      </w:r>
      <w:r w:rsidRPr="006B581B">
        <w:rPr>
          <w:rFonts w:asciiTheme="majorBidi" w:hAnsiTheme="majorBidi" w:cstheme="majorBidi"/>
        </w:rPr>
        <w:t xml:space="preserve"> to evaluate the relationship magnitude and pattern between habitat loss, together with urban expansion and biodiversity reduction, to understand population changes in species </w:t>
      </w:r>
      <w:r w:rsidR="00D96A14">
        <w:rPr>
          <w:rFonts w:asciiTheme="majorBidi" w:hAnsiTheme="majorBidi" w:cstheme="majorBidi"/>
        </w:rPr>
        <w:fldChar w:fldCharType="begin"/>
      </w:r>
      <w:r w:rsidR="00D96A14">
        <w:rPr>
          <w:rFonts w:asciiTheme="majorBidi" w:hAnsiTheme="majorBidi" w:cstheme="majorBidi"/>
        </w:rPr>
        <w:instrText xml:space="preserve"> ADDIN ZOTERO_ITEM CSL_CITATION {"citationID":"45SJhhTP","properties":{"formattedCitation":"[17]","plainCitation":"[17]","noteIndex":0},"citationItems":[{"id":95,"uris":["http://zotero.org/users/local/bx3xsK79/items/2YBA4MQH"],"itemData":{"id":95,"type":"paper-conference","DOI":"10.1063/5.0248581","event-place":"Jaipur, India","event-title":"INTERNATIONAL CONFERENCE ON INNOVATIONS IN COMPUTING AND APPLICATIONS (ICICA-24)","page":"030005","publisher-place":"Jaipur, India","source":"DOI.org (Crossref)","title":"A statistical odyssey: Mapping the current and future terrain of wind energy in Bangladesh","title-short":"A statistical odyssey","URL":"https://pubs.aip.org/aip/acp/article-lookup/doi/10.1063/5.0248581","author":[{"family":"Puri","given":"Shalini"},{"family":"Ahmmed","given":"Md. Mortuza"},{"family":"Choudhary","given":"Vishal"},{"family":"Kabir","given":"K. M. Tahsin"},{"family":"Haque","given":"Ekramul"},{"family":"Noor","given":"Mst. Nadiya"}],"accessed":{"date-parts":[["2025",5,29]]},"issued":{"date-parts":[["2025"]]}}}],"schema":"https://github.com/citation-style-language/schema/raw/master/csl-citation.json"} </w:instrText>
      </w:r>
      <w:r w:rsidR="00D96A14">
        <w:rPr>
          <w:rFonts w:asciiTheme="majorBidi" w:hAnsiTheme="majorBidi" w:cstheme="majorBidi"/>
        </w:rPr>
        <w:fldChar w:fldCharType="separate"/>
      </w:r>
      <w:r w:rsidR="00D96A14" w:rsidRPr="00D96A14">
        <w:t>[17]</w:t>
      </w:r>
      <w:r w:rsidR="00D96A14">
        <w:rPr>
          <w:rFonts w:asciiTheme="majorBidi" w:hAnsiTheme="majorBidi" w:cstheme="majorBidi"/>
        </w:rPr>
        <w:fldChar w:fldCharType="end"/>
      </w:r>
      <w:r w:rsidRPr="006B581B">
        <w:rPr>
          <w:rFonts w:asciiTheme="majorBidi" w:hAnsiTheme="majorBidi" w:cstheme="majorBidi"/>
        </w:rPr>
        <w:t>.</w:t>
      </w:r>
    </w:p>
    <w:p w14:paraId="07A75C82" w14:textId="77777777" w:rsidR="00E41836" w:rsidRDefault="00E41836" w:rsidP="00643B41">
      <w:pPr>
        <w:pStyle w:val="Paragraph"/>
        <w:rPr>
          <w:rFonts w:asciiTheme="majorBidi" w:hAnsiTheme="majorBidi" w:cstheme="majorBidi"/>
        </w:rPr>
      </w:pPr>
    </w:p>
    <w:p w14:paraId="6F4BD218" w14:textId="32841BE2" w:rsidR="006B581B" w:rsidRDefault="00E41836" w:rsidP="00643B41">
      <w:pPr>
        <w:pStyle w:val="Equation"/>
        <w:rPr>
          <w:rFonts w:asciiTheme="majorBidi" w:hAnsiTheme="majorBidi" w:cstheme="majorBidi"/>
        </w:rPr>
      </w:pPr>
      <w:r>
        <w:tab/>
      </w:r>
      <m:oMath>
        <m:r>
          <m:rPr>
            <m:sty m:val="p"/>
          </m:rPr>
          <w:rPr>
            <w:rFonts w:ascii="Cambria Math" w:hAnsi="Cambria Math"/>
          </w:rPr>
          <m:t>Correlation</m:t>
        </m:r>
        <m:r>
          <w:rPr>
            <w:rFonts w:ascii="Cambria Math" w:hAnsi="Cambria Math"/>
          </w:rPr>
          <m:t> </m:t>
        </m:r>
        <m:r>
          <m:rPr>
            <m:sty m:val="p"/>
          </m:rPr>
          <w:rPr>
            <w:rFonts w:ascii="Cambria Math" w:hAnsi="Cambria Math"/>
          </w:rPr>
          <m:t>coefficient</m:t>
        </m:r>
        <m:r>
          <w:rPr>
            <w:rFonts w:ascii="Cambria Math" w:hAnsi="Cambria Math"/>
          </w:rPr>
          <m:t> = </m:t>
        </m:r>
        <m:f>
          <m:fPr>
            <m:ctrlPr>
              <w:rPr>
                <w:rFonts w:ascii="Cambria Math" w:hAnsi="Cambria Math"/>
              </w:rPr>
            </m:ctrlPr>
          </m:fPr>
          <m:num>
            <m:r>
              <m:rPr>
                <m:sty m:val="p"/>
              </m:rPr>
              <w:rPr>
                <w:rFonts w:ascii="Cambria Math" w:hAnsi="Cambria Math"/>
              </w:rPr>
              <m:t>SP</m:t>
            </m:r>
            <m:d>
              <m:dPr>
                <m:ctrlPr>
                  <w:rPr>
                    <w:rFonts w:ascii="Cambria Math" w:hAnsi="Cambria Math"/>
                    <w:i/>
                  </w:rPr>
                </m:ctrlPr>
              </m:dPr>
              <m:e>
                <m:r>
                  <m:rPr>
                    <m:sty m:val="p"/>
                  </m:rPr>
                  <w:rPr>
                    <w:rFonts w:ascii="Cambria Math" w:hAnsi="Cambria Math"/>
                  </w:rPr>
                  <m:t>Variable</m:t>
                </m:r>
                <m:r>
                  <w:rPr>
                    <w:rFonts w:ascii="Cambria Math" w:hAnsi="Cambria Math"/>
                  </w:rPr>
                  <m:t>  </m:t>
                </m:r>
                <m:r>
                  <m:rPr>
                    <m:sty m:val="p"/>
                  </m:rPr>
                  <w:rPr>
                    <w:rFonts w:ascii="Cambria Math" w:hAnsi="Cambria Math"/>
                  </w:rPr>
                  <m:t>ρ</m:t>
                </m:r>
                <m:r>
                  <w:rPr>
                    <w:rFonts w:ascii="Cambria Math" w:hAnsi="Cambria Math"/>
                  </w:rPr>
                  <m:t> </m:t>
                </m:r>
                <m:r>
                  <m:rPr>
                    <m:sty m:val="p"/>
                  </m:rPr>
                  <w:rPr>
                    <w:rFonts w:ascii="Cambria Math" w:hAnsi="Cambria Math"/>
                  </w:rPr>
                  <m:t>*</m:t>
                </m:r>
                <m:r>
                  <w:rPr>
                    <w:rFonts w:ascii="Cambria Math" w:hAnsi="Cambria Math"/>
                  </w:rPr>
                  <m:t> </m:t>
                </m:r>
                <m:r>
                  <m:rPr>
                    <m:sty m:val="p"/>
                  </m:rPr>
                  <w:rPr>
                    <w:rFonts w:ascii="Cambria Math" w:hAnsi="Cambria Math"/>
                  </w:rPr>
                  <m:t>Variable</m:t>
                </m:r>
                <m:r>
                  <w:rPr>
                    <w:rFonts w:ascii="Cambria Math" w:hAnsi="Cambria Math"/>
                  </w:rPr>
                  <m:t>  </m:t>
                </m:r>
                <m:r>
                  <m:rPr>
                    <m:sty m:val="p"/>
                  </m:rPr>
                  <w:rPr>
                    <w:rFonts w:ascii="Cambria Math" w:hAnsi="Cambria Math"/>
                  </w:rPr>
                  <m:t>ϵ</m:t>
                </m:r>
              </m:e>
            </m:d>
            <m:ctrlPr>
              <w:rPr>
                <w:rFonts w:ascii="Cambria Math" w:hAnsi="Cambria Math"/>
                <w:i/>
              </w:rPr>
            </m:ctrlPr>
          </m:num>
          <m:den>
            <m:rad>
              <m:radPr>
                <m:degHide m:val="1"/>
                <m:ctrlPr>
                  <w:rPr>
                    <w:rFonts w:ascii="Cambria Math" w:hAnsi="Cambria Math"/>
                  </w:rPr>
                </m:ctrlPr>
              </m:radPr>
              <m:deg/>
              <m:e>
                <m:r>
                  <m:rPr>
                    <m:sty m:val="p"/>
                  </m:rPr>
                  <w:rPr>
                    <w:rFonts w:ascii="Cambria Math" w:hAnsi="Cambria Math"/>
                  </w:rPr>
                  <m:t>SS</m:t>
                </m:r>
                <m:d>
                  <m:dPr>
                    <m:ctrlPr>
                      <w:rPr>
                        <w:rFonts w:ascii="Cambria Math" w:hAnsi="Cambria Math"/>
                        <w:i/>
                      </w:rPr>
                    </m:ctrlPr>
                  </m:dPr>
                  <m:e>
                    <m:r>
                      <m:rPr>
                        <m:sty m:val="p"/>
                      </m:rPr>
                      <w:rPr>
                        <w:rFonts w:ascii="Cambria Math" w:hAnsi="Cambria Math"/>
                      </w:rPr>
                      <m:t>Variable</m:t>
                    </m:r>
                    <m:r>
                      <w:rPr>
                        <w:rFonts w:ascii="Cambria Math" w:hAnsi="Cambria Math"/>
                      </w:rPr>
                      <m:t>  </m:t>
                    </m:r>
                    <m:r>
                      <m:rPr>
                        <m:sty m:val="p"/>
                      </m:rPr>
                      <w:rPr>
                        <w:rFonts w:ascii="Cambria Math" w:hAnsi="Cambria Math"/>
                      </w:rPr>
                      <m:t>ρ</m:t>
                    </m:r>
                  </m:e>
                </m:d>
                <m:r>
                  <w:rPr>
                    <w:rFonts w:ascii="Cambria Math" w:hAnsi="Cambria Math"/>
                  </w:rPr>
                  <m:t> </m:t>
                </m:r>
                <m:r>
                  <m:rPr>
                    <m:sty m:val="p"/>
                  </m:rPr>
                  <w:rPr>
                    <w:rFonts w:ascii="Cambria Math" w:hAnsi="Cambria Math"/>
                  </w:rPr>
                  <m:t>⋅</m:t>
                </m:r>
                <m:r>
                  <w:rPr>
                    <w:rFonts w:ascii="Cambria Math" w:hAnsi="Cambria Math"/>
                  </w:rPr>
                  <m:t> </m:t>
                </m:r>
                <m:r>
                  <m:rPr>
                    <m:sty m:val="p"/>
                  </m:rPr>
                  <w:rPr>
                    <w:rFonts w:ascii="Cambria Math" w:hAnsi="Cambria Math"/>
                  </w:rPr>
                  <m:t>SS</m:t>
                </m:r>
                <m:d>
                  <m:dPr>
                    <m:ctrlPr>
                      <w:rPr>
                        <w:rFonts w:ascii="Cambria Math" w:hAnsi="Cambria Math"/>
                        <w:i/>
                      </w:rPr>
                    </m:ctrlPr>
                  </m:dPr>
                  <m:e>
                    <m:r>
                      <m:rPr>
                        <m:sty m:val="p"/>
                      </m:rPr>
                      <w:rPr>
                        <w:rFonts w:ascii="Cambria Math" w:hAnsi="Cambria Math"/>
                      </w:rPr>
                      <m:t>Variable</m:t>
                    </m:r>
                    <m:r>
                      <w:rPr>
                        <w:rFonts w:ascii="Cambria Math" w:hAnsi="Cambria Math"/>
                      </w:rPr>
                      <m:t>  </m:t>
                    </m:r>
                    <m:r>
                      <m:rPr>
                        <m:sty m:val="p"/>
                      </m:rPr>
                      <w:rPr>
                        <w:rFonts w:ascii="Cambria Math" w:hAnsi="Cambria Math"/>
                      </w:rPr>
                      <m:t>ϵ</m:t>
                    </m:r>
                  </m:e>
                </m:d>
              </m:e>
            </m:rad>
            <m:ctrlPr>
              <w:rPr>
                <w:rFonts w:ascii="Cambria Math" w:hAnsi="Cambria Math"/>
                <w:i/>
              </w:rPr>
            </m:ctrlPr>
          </m:den>
        </m:f>
      </m:oMath>
      <w:r w:rsidR="00D96A14">
        <w:rPr>
          <w:rFonts w:asciiTheme="majorBidi" w:hAnsiTheme="majorBidi" w:cstheme="majorBidi"/>
        </w:rPr>
        <w:t xml:space="preserve"> </w:t>
      </w:r>
      <w:r w:rsidR="00D96A14">
        <w:rPr>
          <w:rFonts w:asciiTheme="majorBidi" w:hAnsiTheme="majorBidi" w:cstheme="majorBidi"/>
        </w:rPr>
        <w:tab/>
      </w:r>
      <w:commentRangeStart w:id="0"/>
      <w:r w:rsidR="00D96A14">
        <w:rPr>
          <w:rFonts w:asciiTheme="majorBidi" w:hAnsiTheme="majorBidi" w:cstheme="majorBidi"/>
        </w:rPr>
        <w:t>(1)</w:t>
      </w:r>
      <w:commentRangeEnd w:id="0"/>
      <w:r w:rsidR="00563673">
        <w:rPr>
          <w:rStyle w:val="CommentReference"/>
        </w:rPr>
        <w:commentReference w:id="0"/>
      </w:r>
    </w:p>
    <w:p w14:paraId="4193F65E" w14:textId="77777777" w:rsidR="00E41836" w:rsidRDefault="00E41836" w:rsidP="00643B41">
      <w:pPr>
        <w:pStyle w:val="Equation"/>
        <w:rPr>
          <w:rFonts w:asciiTheme="majorBidi" w:hAnsiTheme="majorBidi" w:cstheme="majorBidi"/>
        </w:rPr>
      </w:pPr>
    </w:p>
    <w:p w14:paraId="5FA6DA93" w14:textId="2C3444B2" w:rsidR="006B581B" w:rsidRDefault="00E41836" w:rsidP="00643B41">
      <w:pPr>
        <w:pStyle w:val="Equation"/>
        <w:rPr>
          <w:rFonts w:asciiTheme="majorBidi" w:hAnsiTheme="majorBidi" w:cstheme="majorBidi"/>
        </w:rPr>
      </w:pPr>
      <w:r>
        <w:rPr>
          <w:rFonts w:asciiTheme="majorBidi" w:hAnsiTheme="majorBidi" w:cstheme="majorBidi"/>
        </w:rPr>
        <w:tab/>
      </w:r>
      <m:oMath>
        <m:r>
          <w:rPr>
            <w:rFonts w:ascii="Cambria Math" w:hAnsi="Cambria Math" w:cstheme="majorBidi"/>
          </w:rPr>
          <m:t>SS</m:t>
        </m:r>
        <m:d>
          <m:dPr>
            <m:ctrlPr>
              <w:rPr>
                <w:rFonts w:ascii="Cambria Math" w:hAnsi="Cambria Math" w:cstheme="majorBidi"/>
                <w:i/>
              </w:rPr>
            </m:ctrlPr>
          </m:dPr>
          <m:e>
            <m:r>
              <w:rPr>
                <w:rFonts w:ascii="Cambria Math" w:hAnsi="Cambria Math" w:cstheme="majorBidi"/>
              </w:rPr>
              <m:t xml:space="preserve">Variable </m:t>
            </m:r>
            <m:r>
              <m:rPr>
                <m:sty m:val="p"/>
              </m:rPr>
              <w:rPr>
                <w:rFonts w:ascii="Cambria Math" w:hAnsi="Cambria Math" w:cstheme="majorBidi"/>
              </w:rPr>
              <m:t>ρ</m:t>
            </m:r>
          </m:e>
        </m:d>
        <m:r>
          <w:rPr>
            <w:rFonts w:ascii="Cambria Math" w:hAnsi="Cambria Math" w:cstheme="majorBidi"/>
          </w:rPr>
          <m:t>=</m:t>
        </m:r>
        <m:r>
          <m:rPr>
            <m:sty m:val="p"/>
          </m:rPr>
          <w:rPr>
            <w:rFonts w:ascii="Cambria Math" w:hAnsi="Cambria Math" w:cstheme="majorBidi"/>
          </w:rPr>
          <m:t>∑</m:t>
        </m:r>
        <m:r>
          <w:rPr>
            <w:rFonts w:ascii="Cambria Math" w:hAnsi="Cambria Math" w:cstheme="majorBidi"/>
          </w:rPr>
          <m:t xml:space="preserve">Variable </m:t>
        </m:r>
        <m:sSup>
          <m:sSupPr>
            <m:ctrlPr>
              <w:rPr>
                <w:rFonts w:ascii="Cambria Math" w:hAnsi="Cambria Math" w:cstheme="majorBidi"/>
                <w:i/>
              </w:rPr>
            </m:ctrlPr>
          </m:sSupPr>
          <m:e>
            <m:r>
              <m:rPr>
                <m:sty m:val="p"/>
              </m:rPr>
              <w:rPr>
                <w:rFonts w:ascii="Cambria Math" w:hAnsi="Cambria Math" w:cstheme="majorBidi"/>
              </w:rPr>
              <m:t>ρ</m:t>
            </m:r>
          </m:e>
          <m:sup>
            <m:r>
              <w:rPr>
                <w:rFonts w:ascii="Cambria Math" w:hAnsi="Cambria Math" w:cstheme="majorBidi"/>
              </w:rPr>
              <m:t>2</m:t>
            </m:r>
          </m:sup>
        </m:sSup>
        <m:r>
          <w:rPr>
            <w:rFonts w:ascii="Cambria Math" w:hAnsi="Cambria Math" w:cstheme="majorBidi"/>
          </w:rPr>
          <m:t>-</m:t>
        </m:r>
        <m:f>
          <m:fPr>
            <m:ctrlPr>
              <w:rPr>
                <w:rFonts w:ascii="Cambria Math" w:hAnsi="Cambria Math" w:cstheme="majorBidi"/>
              </w:rPr>
            </m:ctrlPr>
          </m:fPr>
          <m:num>
            <m:sSup>
              <m:sSupPr>
                <m:ctrlPr>
                  <w:rPr>
                    <w:rFonts w:ascii="Cambria Math" w:hAnsi="Cambria Math" w:cstheme="majorBidi"/>
                    <w:i/>
                  </w:rPr>
                </m:ctrlPr>
              </m:sSupPr>
              <m:e>
                <m:d>
                  <m:dPr>
                    <m:ctrlPr>
                      <w:rPr>
                        <w:rFonts w:ascii="Cambria Math" w:hAnsi="Cambria Math" w:cstheme="majorBidi"/>
                        <w:i/>
                      </w:rPr>
                    </m:ctrlPr>
                  </m:dPr>
                  <m:e>
                    <m:r>
                      <m:rPr>
                        <m:sty m:val="p"/>
                      </m:rPr>
                      <w:rPr>
                        <w:rFonts w:ascii="Cambria Math" w:hAnsi="Cambria Math" w:cstheme="majorBidi"/>
                      </w:rPr>
                      <m:t>∑</m:t>
                    </m:r>
                    <m:r>
                      <w:rPr>
                        <w:rFonts w:ascii="Cambria Math" w:hAnsi="Cambria Math" w:cstheme="majorBidi"/>
                      </w:rPr>
                      <m:t xml:space="preserve">Variable </m:t>
                    </m:r>
                    <m:r>
                      <m:rPr>
                        <m:sty m:val="p"/>
                      </m:rPr>
                      <w:rPr>
                        <w:rFonts w:ascii="Cambria Math" w:hAnsi="Cambria Math" w:cstheme="majorBidi"/>
                      </w:rPr>
                      <m:t>ρ</m:t>
                    </m:r>
                  </m:e>
                </m:d>
              </m:e>
              <m:sup>
                <m:r>
                  <w:rPr>
                    <w:rFonts w:ascii="Cambria Math" w:hAnsi="Cambria Math" w:cstheme="majorBidi"/>
                  </w:rPr>
                  <m:t>2</m:t>
                </m:r>
              </m:sup>
            </m:sSup>
            <m:ctrlPr>
              <w:rPr>
                <w:rFonts w:ascii="Cambria Math" w:hAnsi="Cambria Math" w:cstheme="majorBidi"/>
                <w:i/>
              </w:rPr>
            </m:ctrlPr>
          </m:num>
          <m:den>
            <m:r>
              <w:rPr>
                <w:rFonts w:ascii="Cambria Math" w:hAnsi="Cambria Math" w:cstheme="majorBidi"/>
              </w:rPr>
              <m:t>Number of data points</m:t>
            </m:r>
            <m:ctrlPr>
              <w:rPr>
                <w:rFonts w:ascii="Cambria Math" w:hAnsi="Cambria Math" w:cstheme="majorBidi"/>
                <w:i/>
              </w:rPr>
            </m:ctrlPr>
          </m:den>
        </m:f>
      </m:oMath>
      <w:r>
        <w:rPr>
          <w:rFonts w:asciiTheme="majorBidi" w:hAnsiTheme="majorBidi" w:cstheme="majorBidi"/>
        </w:rPr>
        <w:tab/>
      </w:r>
    </w:p>
    <w:p w14:paraId="039194B8" w14:textId="77777777" w:rsidR="00171A43" w:rsidRDefault="00171A43" w:rsidP="00643B41">
      <w:pPr>
        <w:pStyle w:val="Equation"/>
        <w:rPr>
          <w:rFonts w:asciiTheme="majorBidi" w:hAnsiTheme="majorBidi" w:cstheme="majorBidi"/>
        </w:rPr>
      </w:pPr>
    </w:p>
    <w:p w14:paraId="0993DB0B" w14:textId="421BE2E9" w:rsidR="00171A43" w:rsidRDefault="00171A43" w:rsidP="00643B41">
      <w:pPr>
        <w:pStyle w:val="Equation"/>
        <w:rPr>
          <w:rFonts w:asciiTheme="majorBidi" w:hAnsiTheme="majorBidi" w:cstheme="majorBidi"/>
        </w:rPr>
      </w:pPr>
      <w:r>
        <w:rPr>
          <w:rFonts w:asciiTheme="majorBidi" w:hAnsiTheme="majorBidi" w:cstheme="majorBidi"/>
        </w:rPr>
        <w:tab/>
      </w:r>
      <m:oMath>
        <m:r>
          <m:rPr>
            <m:sty m:val="p"/>
          </m:rPr>
          <w:rPr>
            <w:rFonts w:ascii="Cambria Math" w:hAnsi="Cambria Math" w:cstheme="majorBidi"/>
          </w:rPr>
          <m:t>SS</m:t>
        </m:r>
        <m:d>
          <m:dPr>
            <m:ctrlPr>
              <w:rPr>
                <w:rFonts w:ascii="Cambria Math" w:hAnsi="Cambria Math" w:cstheme="majorBidi"/>
                <w:i/>
              </w:rPr>
            </m:ctrlPr>
          </m:dPr>
          <m:e>
            <m:r>
              <m:rPr>
                <m:sty m:val="p"/>
              </m:rPr>
              <w:rPr>
                <w:rFonts w:ascii="Cambria Math" w:hAnsi="Cambria Math" w:cstheme="majorBidi"/>
              </w:rPr>
              <m:t>Variable</m:t>
            </m:r>
            <m:r>
              <w:rPr>
                <w:rFonts w:ascii="Cambria Math" w:hAnsi="Cambria Math" w:cstheme="majorBidi"/>
              </w:rPr>
              <m:t>  </m:t>
            </m:r>
            <m:r>
              <m:rPr>
                <m:sty m:val="p"/>
              </m:rPr>
              <w:rPr>
                <w:rFonts w:ascii="Cambria Math" w:hAnsi="Cambria Math" w:cstheme="majorBidi"/>
              </w:rPr>
              <m:t>ϵ</m:t>
            </m:r>
          </m:e>
        </m:d>
        <m:r>
          <w:rPr>
            <w:rFonts w:ascii="Cambria Math" w:hAnsi="Cambria Math" w:cstheme="majorBidi"/>
          </w:rPr>
          <m:t> = </m:t>
        </m:r>
        <m:nary>
          <m:naryPr>
            <m:chr m:val="∑"/>
            <m:subHide m:val="1"/>
            <m:supHide m:val="1"/>
            <m:ctrlPr>
              <w:rPr>
                <w:rFonts w:ascii="Cambria Math" w:hAnsi="Cambria Math" w:cstheme="majorBidi"/>
              </w:rPr>
            </m:ctrlPr>
          </m:naryPr>
          <m:sub>
            <m:ctrlPr>
              <w:rPr>
                <w:rFonts w:ascii="Cambria Math" w:hAnsi="Cambria Math" w:cstheme="majorBidi"/>
                <w:i/>
              </w:rPr>
            </m:ctrlPr>
          </m:sub>
          <m:sup>
            <m:ctrlPr>
              <w:rPr>
                <w:rFonts w:ascii="Cambria Math" w:hAnsi="Cambria Math" w:cstheme="majorBidi"/>
                <w:i/>
              </w:rPr>
            </m:ctrlPr>
          </m:sup>
          <m:e>
            <m:r>
              <w:rPr>
                <w:rFonts w:ascii="Cambria Math" w:hAnsi="Cambria Math" w:cstheme="majorBidi"/>
              </w:rPr>
              <m:t xml:space="preserve"> </m:t>
            </m:r>
            <m:ctrlPr>
              <w:rPr>
                <w:rFonts w:ascii="Cambria Math" w:hAnsi="Cambria Math" w:cstheme="majorBidi"/>
                <w:i/>
              </w:rPr>
            </m:ctrlPr>
          </m:e>
        </m:nary>
        <m:r>
          <m:rPr>
            <m:sty m:val="p"/>
          </m:rPr>
          <w:rPr>
            <w:rFonts w:ascii="Cambria Math" w:hAnsi="Cambria Math" w:cstheme="majorBidi"/>
          </w:rPr>
          <m:t>Variable</m:t>
        </m:r>
        <m:r>
          <w:rPr>
            <w:rFonts w:ascii="Cambria Math" w:hAnsi="Cambria Math" w:cstheme="majorBidi"/>
          </w:rPr>
          <m:t>  </m:t>
        </m:r>
        <m:sSup>
          <m:sSupPr>
            <m:ctrlPr>
              <w:rPr>
                <w:rFonts w:ascii="Cambria Math" w:hAnsi="Cambria Math" w:cstheme="majorBidi"/>
                <w:i/>
              </w:rPr>
            </m:ctrlPr>
          </m:sSupPr>
          <m:e>
            <m:r>
              <m:rPr>
                <m:sty m:val="p"/>
              </m:rPr>
              <w:rPr>
                <w:rFonts w:ascii="Cambria Math" w:hAnsi="Cambria Math" w:cstheme="majorBidi"/>
              </w:rPr>
              <m:t>ϵ</m:t>
            </m:r>
          </m:e>
          <m:sup>
            <m:r>
              <w:rPr>
                <w:rFonts w:ascii="Cambria Math" w:hAnsi="Cambria Math" w:cstheme="majorBidi"/>
              </w:rPr>
              <m:t>2</m:t>
            </m:r>
          </m:sup>
        </m:sSup>
        <m:r>
          <w:rPr>
            <w:rFonts w:ascii="Cambria Math" w:hAnsi="Cambria Math" w:cstheme="majorBidi"/>
          </w:rPr>
          <m:t> - </m:t>
        </m:r>
        <m:f>
          <m:fPr>
            <m:ctrlPr>
              <w:rPr>
                <w:rFonts w:ascii="Cambria Math" w:hAnsi="Cambria Math" w:cstheme="majorBidi"/>
              </w:rPr>
            </m:ctrlPr>
          </m:fPr>
          <m:num>
            <m:sSup>
              <m:sSupPr>
                <m:ctrlPr>
                  <w:rPr>
                    <w:rFonts w:ascii="Cambria Math" w:hAnsi="Cambria Math" w:cstheme="majorBidi"/>
                    <w:i/>
                  </w:rPr>
                </m:ctrlPr>
              </m:sSupPr>
              <m:e>
                <m:d>
                  <m:dPr>
                    <m:ctrlPr>
                      <w:rPr>
                        <w:rFonts w:ascii="Cambria Math" w:hAnsi="Cambria Math" w:cstheme="majorBidi"/>
                        <w:i/>
                      </w:rPr>
                    </m:ctrlPr>
                  </m:dPr>
                  <m:e>
                    <m:nary>
                      <m:naryPr>
                        <m:chr m:val="∑"/>
                        <m:subHide m:val="1"/>
                        <m:supHide m:val="1"/>
                        <m:ctrlPr>
                          <w:rPr>
                            <w:rFonts w:ascii="Cambria Math" w:hAnsi="Cambria Math" w:cstheme="majorBidi"/>
                          </w:rPr>
                        </m:ctrlPr>
                      </m:naryPr>
                      <m:sub>
                        <m:ctrlPr>
                          <w:rPr>
                            <w:rFonts w:ascii="Cambria Math" w:hAnsi="Cambria Math" w:cstheme="majorBidi"/>
                            <w:i/>
                          </w:rPr>
                        </m:ctrlPr>
                      </m:sub>
                      <m:sup>
                        <m:ctrlPr>
                          <w:rPr>
                            <w:rFonts w:ascii="Cambria Math" w:hAnsi="Cambria Math" w:cstheme="majorBidi"/>
                            <w:i/>
                          </w:rPr>
                        </m:ctrlPr>
                      </m:sup>
                      <m:e>
                        <m:r>
                          <w:rPr>
                            <w:rFonts w:ascii="Cambria Math" w:hAnsi="Cambria Math" w:cstheme="majorBidi"/>
                          </w:rPr>
                          <m:t xml:space="preserve"> </m:t>
                        </m:r>
                        <m:ctrlPr>
                          <w:rPr>
                            <w:rFonts w:ascii="Cambria Math" w:hAnsi="Cambria Math" w:cstheme="majorBidi"/>
                            <w:i/>
                          </w:rPr>
                        </m:ctrlPr>
                      </m:e>
                    </m:nary>
                    <m:r>
                      <m:rPr>
                        <m:sty m:val="p"/>
                      </m:rPr>
                      <w:rPr>
                        <w:rFonts w:ascii="Cambria Math" w:hAnsi="Cambria Math" w:cstheme="majorBidi"/>
                      </w:rPr>
                      <m:t>Variable</m:t>
                    </m:r>
                    <m:r>
                      <w:rPr>
                        <w:rFonts w:ascii="Cambria Math" w:hAnsi="Cambria Math" w:cstheme="majorBidi"/>
                      </w:rPr>
                      <m:t>  </m:t>
                    </m:r>
                    <m:r>
                      <m:rPr>
                        <m:sty m:val="p"/>
                      </m:rPr>
                      <w:rPr>
                        <w:rFonts w:ascii="Cambria Math" w:hAnsi="Cambria Math" w:cstheme="majorBidi"/>
                      </w:rPr>
                      <m:t>ϵ</m:t>
                    </m:r>
                  </m:e>
                </m:d>
              </m:e>
              <m:sup>
                <m:r>
                  <w:rPr>
                    <w:rFonts w:ascii="Cambria Math" w:hAnsi="Cambria Math" w:cstheme="majorBidi"/>
                  </w:rPr>
                  <m:t>2</m:t>
                </m:r>
              </m:sup>
            </m:sSup>
            <m:ctrlPr>
              <w:rPr>
                <w:rFonts w:ascii="Cambria Math" w:hAnsi="Cambria Math" w:cstheme="majorBidi"/>
                <w:i/>
              </w:rPr>
            </m:ctrlPr>
          </m:num>
          <m:den>
            <m:r>
              <m:rPr>
                <m:sty m:val="p"/>
              </m:rPr>
              <w:rPr>
                <w:rFonts w:ascii="Cambria Math" w:hAnsi="Cambria Math" w:cstheme="majorBidi"/>
              </w:rPr>
              <m:t>Number</m:t>
            </m:r>
            <m:r>
              <w:rPr>
                <w:rFonts w:ascii="Cambria Math" w:hAnsi="Cambria Math" w:cstheme="majorBidi"/>
              </w:rPr>
              <m:t> </m:t>
            </m:r>
            <m:r>
              <m:rPr>
                <m:sty m:val="p"/>
              </m:rPr>
              <w:rPr>
                <w:rFonts w:ascii="Cambria Math" w:hAnsi="Cambria Math" w:cstheme="majorBidi"/>
              </w:rPr>
              <m:t>of</m:t>
            </m:r>
            <m:r>
              <w:rPr>
                <w:rFonts w:ascii="Cambria Math" w:hAnsi="Cambria Math" w:cstheme="majorBidi"/>
              </w:rPr>
              <m:t> </m:t>
            </m:r>
            <m:r>
              <m:rPr>
                <m:sty m:val="p"/>
              </m:rPr>
              <w:rPr>
                <w:rFonts w:ascii="Cambria Math" w:hAnsi="Cambria Math" w:cstheme="majorBidi"/>
              </w:rPr>
              <m:t>data</m:t>
            </m:r>
            <m:r>
              <w:rPr>
                <w:rFonts w:ascii="Cambria Math" w:hAnsi="Cambria Math" w:cstheme="majorBidi"/>
              </w:rPr>
              <m:t> </m:t>
            </m:r>
            <m:r>
              <m:rPr>
                <m:sty m:val="p"/>
              </m:rPr>
              <w:rPr>
                <w:rFonts w:ascii="Cambria Math" w:hAnsi="Cambria Math" w:cstheme="majorBidi"/>
              </w:rPr>
              <m:t>points</m:t>
            </m:r>
            <m:ctrlPr>
              <w:rPr>
                <w:rFonts w:ascii="Cambria Math" w:hAnsi="Cambria Math" w:cstheme="majorBidi"/>
                <w:i/>
              </w:rPr>
            </m:ctrlPr>
          </m:den>
        </m:f>
      </m:oMath>
      <w:r>
        <w:rPr>
          <w:rFonts w:asciiTheme="majorBidi" w:hAnsiTheme="majorBidi" w:cstheme="majorBidi"/>
        </w:rPr>
        <w:tab/>
      </w:r>
    </w:p>
    <w:p w14:paraId="217F9095" w14:textId="77777777" w:rsidR="00171A43" w:rsidRDefault="00171A43" w:rsidP="00643B41">
      <w:pPr>
        <w:pStyle w:val="Equation"/>
        <w:rPr>
          <w:rFonts w:asciiTheme="majorBidi" w:hAnsiTheme="majorBidi" w:cstheme="majorBidi"/>
        </w:rPr>
      </w:pPr>
    </w:p>
    <w:p w14:paraId="51E0F6AC" w14:textId="6862EABE" w:rsidR="006B581B" w:rsidRDefault="00171A43" w:rsidP="00643B41">
      <w:pPr>
        <w:pStyle w:val="Equation"/>
        <w:rPr>
          <w:rFonts w:asciiTheme="majorBidi" w:hAnsiTheme="majorBidi" w:cstheme="majorBidi"/>
        </w:rPr>
      </w:pPr>
      <w:r>
        <w:rPr>
          <w:rFonts w:asciiTheme="majorBidi" w:hAnsiTheme="majorBidi" w:cstheme="majorBidi"/>
        </w:rPr>
        <w:tab/>
      </w:r>
      <m:oMath>
        <m:r>
          <w:rPr>
            <w:rFonts w:ascii="Cambria Math" w:hAnsi="Cambria Math" w:cstheme="majorBidi"/>
          </w:rPr>
          <m:t>SP</m:t>
        </m:r>
        <m:d>
          <m:dPr>
            <m:ctrlPr>
              <w:rPr>
                <w:rFonts w:ascii="Cambria Math" w:hAnsi="Cambria Math" w:cstheme="majorBidi"/>
                <w:i/>
              </w:rPr>
            </m:ctrlPr>
          </m:dPr>
          <m:e>
            <m:r>
              <w:rPr>
                <w:rFonts w:ascii="Cambria Math" w:hAnsi="Cambria Math" w:cstheme="majorBidi"/>
              </w:rPr>
              <m:t xml:space="preserve">Variable </m:t>
            </m:r>
            <m:r>
              <m:rPr>
                <m:sty m:val="p"/>
              </m:rPr>
              <w:rPr>
                <w:rFonts w:ascii="Cambria Math" w:hAnsi="Cambria Math" w:cstheme="majorBidi"/>
              </w:rPr>
              <m:t xml:space="preserve">ρ </m:t>
            </m:r>
            <m:r>
              <w:rPr>
                <w:rFonts w:ascii="Cambria Math" w:hAnsi="Cambria Math" w:cstheme="majorBidi"/>
              </w:rPr>
              <m:t xml:space="preserve">* Variable </m:t>
            </m:r>
            <m:r>
              <m:rPr>
                <m:sty m:val="p"/>
              </m:rPr>
              <w:rPr>
                <w:rFonts w:ascii="Cambria Math" w:hAnsi="Cambria Math" w:cstheme="majorBidi"/>
              </w:rPr>
              <m:t>ϵ</m:t>
            </m:r>
          </m:e>
        </m:d>
        <m:r>
          <w:rPr>
            <w:rFonts w:ascii="Cambria Math" w:hAnsi="Cambria Math" w:cstheme="majorBidi"/>
          </w:rPr>
          <m:t>=</m:t>
        </m:r>
        <m:r>
          <m:rPr>
            <m:sty m:val="p"/>
          </m:rPr>
          <w:rPr>
            <w:rFonts w:ascii="Cambria Math" w:hAnsi="Cambria Math" w:cstheme="majorBidi"/>
          </w:rPr>
          <m:t>∑</m:t>
        </m:r>
        <m:r>
          <w:rPr>
            <w:rFonts w:ascii="Cambria Math" w:hAnsi="Cambria Math" w:cstheme="majorBidi"/>
          </w:rPr>
          <m:t xml:space="preserve">Variable </m:t>
        </m:r>
        <m:r>
          <m:rPr>
            <m:sty m:val="p"/>
          </m:rPr>
          <w:rPr>
            <w:rFonts w:ascii="Cambria Math" w:hAnsi="Cambria Math" w:cstheme="majorBidi"/>
          </w:rPr>
          <m:t>ρ</m:t>
        </m:r>
        <m:r>
          <w:rPr>
            <w:rFonts w:ascii="Cambria Math" w:hAnsi="Cambria Math" w:cstheme="majorBidi"/>
          </w:rPr>
          <m:t xml:space="preserve">*Variable </m:t>
        </m:r>
        <m:r>
          <m:rPr>
            <m:sty m:val="p"/>
          </m:rPr>
          <w:rPr>
            <w:rFonts w:ascii="Cambria Math" w:hAnsi="Cambria Math" w:cstheme="majorBidi"/>
          </w:rPr>
          <m:t>ϵ</m:t>
        </m:r>
        <m:r>
          <w:rPr>
            <w:rFonts w:ascii="Cambria Math" w:hAnsi="Cambria Math" w:cstheme="majorBidi"/>
          </w:rPr>
          <m:t>-</m:t>
        </m:r>
        <m:f>
          <m:fPr>
            <m:ctrlPr>
              <w:rPr>
                <w:rFonts w:ascii="Cambria Math" w:hAnsi="Cambria Math" w:cstheme="majorBidi"/>
              </w:rPr>
            </m:ctrlPr>
          </m:fPr>
          <m:num>
            <m:r>
              <m:rPr>
                <m:sty m:val="p"/>
              </m:rPr>
              <w:rPr>
                <w:rFonts w:ascii="Cambria Math" w:hAnsi="Cambria Math" w:cstheme="majorBidi"/>
              </w:rPr>
              <m:t>∑</m:t>
            </m:r>
            <m:r>
              <w:rPr>
                <w:rFonts w:ascii="Cambria Math" w:hAnsi="Cambria Math" w:cstheme="majorBidi"/>
              </w:rPr>
              <m:t xml:space="preserve">Variable </m:t>
            </m:r>
            <m:r>
              <m:rPr>
                <m:sty m:val="p"/>
              </m:rPr>
              <w:rPr>
                <w:rFonts w:ascii="Cambria Math" w:hAnsi="Cambria Math" w:cstheme="majorBidi"/>
              </w:rPr>
              <m:t>ρ * ∑</m:t>
            </m:r>
            <m:r>
              <w:rPr>
                <w:rFonts w:ascii="Cambria Math" w:hAnsi="Cambria Math" w:cstheme="majorBidi"/>
              </w:rPr>
              <m:t xml:space="preserve">Variable </m:t>
            </m:r>
            <m:r>
              <m:rPr>
                <m:sty m:val="p"/>
              </m:rPr>
              <w:rPr>
                <w:rFonts w:ascii="Cambria Math" w:hAnsi="Cambria Math" w:cstheme="majorBidi"/>
              </w:rPr>
              <m:t>ϵ</m:t>
            </m:r>
            <m:ctrlPr>
              <w:rPr>
                <w:rFonts w:ascii="Cambria Math" w:hAnsi="Cambria Math" w:cstheme="majorBidi"/>
                <w:i/>
              </w:rPr>
            </m:ctrlPr>
          </m:num>
          <m:den>
            <m:r>
              <w:rPr>
                <w:rFonts w:ascii="Cambria Math" w:hAnsi="Cambria Math" w:cstheme="majorBidi"/>
              </w:rPr>
              <m:t>Number of data points</m:t>
            </m:r>
            <m:ctrlPr>
              <w:rPr>
                <w:rFonts w:ascii="Cambria Math" w:hAnsi="Cambria Math" w:cstheme="majorBidi"/>
                <w:i/>
              </w:rPr>
            </m:ctrlPr>
          </m:den>
        </m:f>
      </m:oMath>
      <w:r>
        <w:rPr>
          <w:rFonts w:asciiTheme="majorBidi" w:hAnsiTheme="majorBidi" w:cstheme="majorBidi"/>
        </w:rPr>
        <w:tab/>
      </w:r>
    </w:p>
    <w:p w14:paraId="257EE3A4" w14:textId="77777777" w:rsidR="00171A43" w:rsidRDefault="00171A43" w:rsidP="00643B41">
      <w:pPr>
        <w:pStyle w:val="Equation"/>
        <w:rPr>
          <w:rFonts w:asciiTheme="majorBidi" w:hAnsiTheme="majorBidi" w:cstheme="majorBidi"/>
        </w:rPr>
      </w:pPr>
    </w:p>
    <w:p w14:paraId="076DD523" w14:textId="6816C23C" w:rsidR="006B581B" w:rsidRDefault="00B676E5" w:rsidP="00336DA8">
      <w:pPr>
        <w:pStyle w:val="Paragraph"/>
        <w:ind w:firstLine="288"/>
        <w:rPr>
          <w:rFonts w:asciiTheme="majorBidi" w:hAnsiTheme="majorBidi" w:cstheme="majorBidi"/>
        </w:rPr>
      </w:pPr>
      <w:r w:rsidRPr="00B676E5">
        <w:rPr>
          <w:rFonts w:asciiTheme="majorBidi" w:hAnsiTheme="majorBidi" w:cstheme="majorBidi"/>
        </w:rPr>
        <w:t>A regression analysis</w:t>
      </w:r>
      <w:r w:rsidR="00421348">
        <w:rPr>
          <w:rFonts w:asciiTheme="majorBidi" w:hAnsiTheme="majorBidi" w:cstheme="majorBidi"/>
        </w:rPr>
        <w:t xml:space="preserve"> (</w:t>
      </w:r>
      <w:r w:rsidR="00E76C3F">
        <w:rPr>
          <w:rFonts w:asciiTheme="majorBidi" w:hAnsiTheme="majorBidi" w:cstheme="majorBidi"/>
        </w:rPr>
        <w:t xml:space="preserve">refer to </w:t>
      </w:r>
      <w:r w:rsidR="00421348">
        <w:rPr>
          <w:rFonts w:asciiTheme="majorBidi" w:hAnsiTheme="majorBidi" w:cstheme="majorBidi"/>
        </w:rPr>
        <w:t>Eq</w:t>
      </w:r>
      <w:r w:rsidR="00E76C3F">
        <w:rPr>
          <w:rFonts w:asciiTheme="majorBidi" w:hAnsiTheme="majorBidi" w:cstheme="majorBidi"/>
        </w:rPr>
        <w:t>uation</w:t>
      </w:r>
      <w:r w:rsidR="00421348">
        <w:rPr>
          <w:rFonts w:asciiTheme="majorBidi" w:hAnsiTheme="majorBidi" w:cstheme="majorBidi"/>
        </w:rPr>
        <w:t xml:space="preserve"> </w:t>
      </w:r>
      <w:r w:rsidR="00E76C3F">
        <w:rPr>
          <w:rFonts w:asciiTheme="majorBidi" w:hAnsiTheme="majorBidi" w:cstheme="majorBidi"/>
        </w:rPr>
        <w:t>(</w:t>
      </w:r>
      <w:r w:rsidR="00421348">
        <w:rPr>
          <w:rFonts w:asciiTheme="majorBidi" w:hAnsiTheme="majorBidi" w:cstheme="majorBidi"/>
        </w:rPr>
        <w:t>2</w:t>
      </w:r>
      <w:r w:rsidR="00E76C3F">
        <w:rPr>
          <w:rFonts w:asciiTheme="majorBidi" w:hAnsiTheme="majorBidi" w:cstheme="majorBidi"/>
        </w:rPr>
        <w:t>)</w:t>
      </w:r>
      <w:r w:rsidR="00421348">
        <w:rPr>
          <w:rFonts w:asciiTheme="majorBidi" w:hAnsiTheme="majorBidi" w:cstheme="majorBidi"/>
        </w:rPr>
        <w:t>)</w:t>
      </w:r>
      <w:r w:rsidRPr="00B676E5">
        <w:rPr>
          <w:rFonts w:asciiTheme="majorBidi" w:hAnsiTheme="majorBidi" w:cstheme="majorBidi"/>
        </w:rPr>
        <w:t xml:space="preserve"> functions as a trusted statistical procedure for discovering variable relationships and making outcome predictions, along with identifying how different elements affect the response metric. The study used regression analysis to measure the effects that urbanization has on biodiversity. A linear regression model analyzed the link between species counts as the outcome variable and measures of urban expansion throughout the study. The main research goal focused on determining coefficients that </w:t>
      </w:r>
      <w:proofErr w:type="gramStart"/>
      <w:r w:rsidRPr="00B676E5">
        <w:rPr>
          <w:rFonts w:asciiTheme="majorBidi" w:hAnsiTheme="majorBidi" w:cstheme="majorBidi"/>
        </w:rPr>
        <w:t>minimized</w:t>
      </w:r>
      <w:proofErr w:type="gramEnd"/>
      <w:r w:rsidRPr="00B676E5">
        <w:rPr>
          <w:rFonts w:asciiTheme="majorBidi" w:hAnsiTheme="majorBidi" w:cstheme="majorBidi"/>
        </w:rPr>
        <w:t xml:space="preserve"> error squares for producing the most suitable data prediction model. The variable-based projection system enables precise prediction along with complete insight into biodiversity decrease caused by urban development for developing effective conservation and sustainable urban development strategies</w:t>
      </w:r>
      <w:r w:rsidR="00D96A14">
        <w:rPr>
          <w:rFonts w:asciiTheme="majorBidi" w:hAnsiTheme="majorBidi" w:cstheme="majorBidi"/>
        </w:rPr>
        <w:t xml:space="preserve"> </w:t>
      </w:r>
      <w:r w:rsidR="00D96A14">
        <w:rPr>
          <w:rFonts w:asciiTheme="majorBidi" w:hAnsiTheme="majorBidi" w:cstheme="majorBidi"/>
        </w:rPr>
        <w:fldChar w:fldCharType="begin"/>
      </w:r>
      <w:r w:rsidR="00D96A14">
        <w:rPr>
          <w:rFonts w:asciiTheme="majorBidi" w:hAnsiTheme="majorBidi" w:cstheme="majorBidi"/>
        </w:rPr>
        <w:instrText xml:space="preserve"> ADDIN ZOTERO_ITEM CSL_CITATION {"citationID":"0EiGeRRg","properties":{"formattedCitation":"[17]","plainCitation":"[17]","noteIndex":0},"citationItems":[{"id":95,"uris":["http://zotero.org/users/local/bx3xsK79/items/2YBA4MQH"],"itemData":{"id":95,"type":"paper-conference","DOI":"10.1063/5.0248581","event-place":"Jaipur, India","event-title":"INTERNATIONAL CONFERENCE ON INNOVATIONS IN COMPUTING AND APPLICATIONS (ICICA-24)","page":"030005","publisher-place":"Jaipur, India","source":"DOI.org (Crossref)","title":"A statistical odyssey: Mapping the current and future terrain of wind energy in Bangladesh","title-short":"A statistical odyssey","URL":"https://pubs.aip.org/aip/acp/article-lookup/doi/10.1063/5.0248581","author":[{"family":"Puri","given":"Shalini"},{"family":"Ahmmed","given":"Md. Mortuza"},{"family":"Choudhary","given":"Vishal"},{"family":"Kabir","given":"K. M. Tahsin"},{"family":"Haque","given":"Ekramul"},{"family":"Noor","given":"Mst. Nadiya"}],"accessed":{"date-parts":[["2025",5,29]]},"issued":{"date-parts":[["2025"]]}}}],"schema":"https://github.com/citation-style-language/schema/raw/master/csl-citation.json"} </w:instrText>
      </w:r>
      <w:r w:rsidR="00D96A14">
        <w:rPr>
          <w:rFonts w:asciiTheme="majorBidi" w:hAnsiTheme="majorBidi" w:cstheme="majorBidi"/>
        </w:rPr>
        <w:fldChar w:fldCharType="separate"/>
      </w:r>
      <w:r w:rsidR="00D96A14" w:rsidRPr="00D96A14">
        <w:t>[17]</w:t>
      </w:r>
      <w:r w:rsidR="00D96A14">
        <w:rPr>
          <w:rFonts w:asciiTheme="majorBidi" w:hAnsiTheme="majorBidi" w:cstheme="majorBidi"/>
        </w:rPr>
        <w:fldChar w:fldCharType="end"/>
      </w:r>
      <w:r w:rsidRPr="00B676E5">
        <w:rPr>
          <w:rFonts w:asciiTheme="majorBidi" w:hAnsiTheme="majorBidi" w:cstheme="majorBidi"/>
        </w:rPr>
        <w:t>. Mathematically:</w:t>
      </w:r>
    </w:p>
    <w:p w14:paraId="6FF6A390" w14:textId="77777777" w:rsidR="00171A43" w:rsidRDefault="00171A43" w:rsidP="00643B41">
      <w:pPr>
        <w:pStyle w:val="Paragraph"/>
        <w:ind w:firstLine="288"/>
        <w:rPr>
          <w:rFonts w:asciiTheme="majorBidi" w:hAnsiTheme="majorBidi" w:cstheme="majorBidi"/>
        </w:rPr>
      </w:pPr>
    </w:p>
    <w:p w14:paraId="35D63E85" w14:textId="6696E569" w:rsidR="00B676E5" w:rsidRPr="00D96A14" w:rsidRDefault="00171A43" w:rsidP="00643B41">
      <w:pPr>
        <w:pStyle w:val="Equation"/>
        <w:rPr>
          <w:rFonts w:asciiTheme="majorBidi" w:hAnsiTheme="majorBidi" w:cstheme="majorBidi"/>
        </w:rPr>
      </w:pPr>
      <w:r>
        <w:tab/>
      </w:r>
      <m:oMath>
        <m:r>
          <w:rPr>
            <w:rFonts w:ascii="Cambria Math" w:hAnsi="Cambria Math" w:cstheme="majorBidi"/>
          </w:rPr>
          <m:t>E</m:t>
        </m:r>
        <m:d>
          <m:dPr>
            <m:ctrlPr>
              <w:rPr>
                <w:rFonts w:ascii="Cambria Math" w:hAnsi="Cambria Math" w:cstheme="majorBidi"/>
                <w:i/>
              </w:rPr>
            </m:ctrlPr>
          </m:dPr>
          <m:e>
            <m:r>
              <w:rPr>
                <w:rFonts w:ascii="Cambria Math" w:hAnsi="Cambria Math" w:cstheme="majorBidi"/>
              </w:rPr>
              <m:t>W</m:t>
            </m:r>
          </m:e>
        </m:d>
        <m:r>
          <w:rPr>
            <w:rFonts w:ascii="Cambria Math" w:hAnsi="Cambria Math" w:cstheme="majorBidi"/>
          </w:rPr>
          <m:t>=</m:t>
        </m:r>
        <m:sSub>
          <m:sSubPr>
            <m:ctrlPr>
              <w:rPr>
                <w:rFonts w:ascii="Cambria Math" w:hAnsi="Cambria Math" w:cstheme="majorBidi"/>
                <w:i/>
              </w:rPr>
            </m:ctrlPr>
          </m:sSubPr>
          <m:e>
            <m:r>
              <m:rPr>
                <m:sty m:val="p"/>
              </m:rPr>
              <w:rPr>
                <w:rFonts w:ascii="Cambria Math" w:hAnsi="Cambria Math" w:cstheme="majorBidi"/>
              </w:rPr>
              <m:t>ω</m:t>
            </m:r>
          </m:e>
          <m:sub>
            <m:r>
              <w:rPr>
                <w:rFonts w:ascii="Cambria Math" w:hAnsi="Cambria Math" w:cstheme="majorBidi"/>
              </w:rPr>
              <m:t>0</m:t>
            </m:r>
          </m:sub>
        </m:sSub>
        <m:r>
          <w:rPr>
            <w:rFonts w:ascii="Cambria Math" w:hAnsi="Cambria Math" w:cstheme="majorBidi"/>
          </w:rPr>
          <m:t>+</m:t>
        </m:r>
        <m:sSub>
          <m:sSubPr>
            <m:ctrlPr>
              <w:rPr>
                <w:rFonts w:ascii="Cambria Math" w:hAnsi="Cambria Math" w:cstheme="majorBidi"/>
                <w:i/>
              </w:rPr>
            </m:ctrlPr>
          </m:sSubPr>
          <m:e>
            <m:r>
              <m:rPr>
                <m:sty m:val="p"/>
              </m:rPr>
              <w:rPr>
                <w:rFonts w:ascii="Cambria Math" w:hAnsi="Cambria Math" w:cstheme="majorBidi"/>
              </w:rPr>
              <m:t>ω</m:t>
            </m:r>
          </m:e>
          <m:sub>
            <m:r>
              <w:rPr>
                <w:rFonts w:ascii="Cambria Math" w:hAnsi="Cambria Math" w:cstheme="majorBidi"/>
              </w:rPr>
              <m:t>1</m:t>
            </m:r>
          </m:sub>
        </m:sSub>
        <m:sSub>
          <m:sSubPr>
            <m:ctrlPr>
              <w:rPr>
                <w:rFonts w:ascii="Cambria Math" w:hAnsi="Cambria Math" w:cstheme="majorBidi"/>
                <w:i/>
              </w:rPr>
            </m:ctrlPr>
          </m:sSubPr>
          <m:e>
            <m:r>
              <m:rPr>
                <m:sty m:val="p"/>
              </m:rPr>
              <w:rPr>
                <w:rFonts w:ascii="Cambria Math" w:hAnsi="Cambria Math" w:cstheme="majorBidi"/>
              </w:rPr>
              <m:t>ψ</m:t>
            </m:r>
            <m:ctrlPr>
              <w:rPr>
                <w:rFonts w:ascii="Cambria Math" w:hAnsi="Cambria Math" w:cstheme="majorBidi"/>
              </w:rPr>
            </m:ctrlPr>
          </m:e>
          <m:sub>
            <m:r>
              <w:rPr>
                <w:rFonts w:ascii="Cambria Math" w:hAnsi="Cambria Math" w:cstheme="majorBidi"/>
              </w:rPr>
              <m:t>1</m:t>
            </m:r>
          </m:sub>
        </m:sSub>
        <m:r>
          <w:rPr>
            <w:rFonts w:ascii="Cambria Math" w:hAnsi="Cambria Math" w:cstheme="majorBidi"/>
          </w:rPr>
          <m:t>+</m:t>
        </m:r>
        <m:sSub>
          <m:sSubPr>
            <m:ctrlPr>
              <w:rPr>
                <w:rFonts w:ascii="Cambria Math" w:hAnsi="Cambria Math" w:cstheme="majorBidi"/>
                <w:i/>
              </w:rPr>
            </m:ctrlPr>
          </m:sSubPr>
          <m:e>
            <m:r>
              <m:rPr>
                <m:sty m:val="p"/>
              </m:rPr>
              <w:rPr>
                <w:rFonts w:ascii="Cambria Math" w:hAnsi="Cambria Math" w:cstheme="majorBidi"/>
              </w:rPr>
              <m:t>ω</m:t>
            </m:r>
          </m:e>
          <m:sub>
            <m:r>
              <w:rPr>
                <w:rFonts w:ascii="Cambria Math" w:hAnsi="Cambria Math" w:cstheme="majorBidi"/>
              </w:rPr>
              <m:t>2</m:t>
            </m:r>
          </m:sub>
        </m:sSub>
        <m:sSub>
          <m:sSubPr>
            <m:ctrlPr>
              <w:rPr>
                <w:rFonts w:ascii="Cambria Math" w:hAnsi="Cambria Math" w:cstheme="majorBidi"/>
                <w:i/>
              </w:rPr>
            </m:ctrlPr>
          </m:sSubPr>
          <m:e>
            <m:r>
              <m:rPr>
                <m:sty m:val="p"/>
              </m:rPr>
              <w:rPr>
                <w:rFonts w:ascii="Cambria Math" w:hAnsi="Cambria Math" w:cstheme="majorBidi"/>
              </w:rPr>
              <m:t>ψ</m:t>
            </m:r>
            <m:ctrlPr>
              <w:rPr>
                <w:rFonts w:ascii="Cambria Math" w:hAnsi="Cambria Math" w:cstheme="majorBidi"/>
              </w:rPr>
            </m:ctrlPr>
          </m:e>
          <m:sub>
            <m:r>
              <w:rPr>
                <w:rFonts w:ascii="Cambria Math" w:hAnsi="Cambria Math" w:cstheme="majorBidi"/>
              </w:rPr>
              <m:t>2</m:t>
            </m:r>
          </m:sub>
        </m:sSub>
        <m:r>
          <w:rPr>
            <w:rFonts w:ascii="Cambria Math" w:hAnsi="Cambria Math" w:cstheme="majorBidi"/>
          </w:rPr>
          <m:t>+</m:t>
        </m:r>
        <m:sSub>
          <m:sSubPr>
            <m:ctrlPr>
              <w:rPr>
                <w:rFonts w:ascii="Cambria Math" w:hAnsi="Cambria Math" w:cstheme="majorBidi"/>
                <w:i/>
              </w:rPr>
            </m:ctrlPr>
          </m:sSubPr>
          <m:e>
            <m:r>
              <m:rPr>
                <m:sty m:val="p"/>
              </m:rPr>
              <w:rPr>
                <w:rFonts w:ascii="Cambria Math" w:hAnsi="Cambria Math" w:cstheme="majorBidi"/>
              </w:rPr>
              <m:t>ω</m:t>
            </m:r>
          </m:e>
          <m:sub>
            <m:r>
              <w:rPr>
                <w:rFonts w:ascii="Cambria Math" w:hAnsi="Cambria Math" w:cstheme="majorBidi"/>
              </w:rPr>
              <m:t>3</m:t>
            </m:r>
          </m:sub>
        </m:sSub>
        <m:sSub>
          <m:sSubPr>
            <m:ctrlPr>
              <w:rPr>
                <w:rFonts w:ascii="Cambria Math" w:hAnsi="Cambria Math" w:cstheme="majorBidi"/>
                <w:i/>
              </w:rPr>
            </m:ctrlPr>
          </m:sSubPr>
          <m:e>
            <m:r>
              <m:rPr>
                <m:sty m:val="p"/>
              </m:rPr>
              <w:rPr>
                <w:rFonts w:ascii="Cambria Math" w:hAnsi="Cambria Math" w:cstheme="majorBidi"/>
              </w:rPr>
              <m:t>ψ</m:t>
            </m:r>
            <m:ctrlPr>
              <w:rPr>
                <w:rFonts w:ascii="Cambria Math" w:hAnsi="Cambria Math" w:cstheme="majorBidi"/>
              </w:rPr>
            </m:ctrlPr>
          </m:e>
          <m:sub>
            <m:r>
              <w:rPr>
                <w:rFonts w:ascii="Cambria Math" w:hAnsi="Cambria Math" w:cstheme="majorBidi"/>
              </w:rPr>
              <m:t>3</m:t>
            </m:r>
          </m:sub>
        </m:sSub>
        <m:r>
          <w:rPr>
            <w:rFonts w:ascii="Cambria Math" w:hAnsi="Cambria Math" w:cstheme="majorBidi"/>
          </w:rPr>
          <m:t>+</m:t>
        </m:r>
        <m:r>
          <m:rPr>
            <m:sty m:val="p"/>
          </m:rPr>
          <w:rPr>
            <w:rFonts w:ascii="Cambria Math" w:hAnsi="Cambria Math" w:cstheme="majorBidi"/>
          </w:rPr>
          <m:t>⋯</m:t>
        </m:r>
        <m:r>
          <w:rPr>
            <w:rFonts w:ascii="Cambria Math" w:hAnsi="Cambria Math" w:cstheme="majorBidi"/>
          </w:rPr>
          <m:t>+</m:t>
        </m:r>
        <m:sSub>
          <m:sSubPr>
            <m:ctrlPr>
              <w:rPr>
                <w:rFonts w:ascii="Cambria Math" w:hAnsi="Cambria Math" w:cstheme="majorBidi"/>
                <w:i/>
              </w:rPr>
            </m:ctrlPr>
          </m:sSubPr>
          <m:e>
            <m:r>
              <m:rPr>
                <m:sty m:val="p"/>
              </m:rPr>
              <w:rPr>
                <w:rFonts w:ascii="Cambria Math" w:hAnsi="Cambria Math" w:cstheme="majorBidi"/>
              </w:rPr>
              <m:t>ω</m:t>
            </m:r>
          </m:e>
          <m:sub>
            <m:r>
              <w:rPr>
                <w:rFonts w:ascii="Cambria Math" w:hAnsi="Cambria Math" w:cstheme="majorBidi"/>
              </w:rPr>
              <m:t>x</m:t>
            </m:r>
          </m:sub>
        </m:sSub>
        <m:sSub>
          <m:sSubPr>
            <m:ctrlPr>
              <w:rPr>
                <w:rFonts w:ascii="Cambria Math" w:hAnsi="Cambria Math" w:cstheme="majorBidi"/>
                <w:i/>
              </w:rPr>
            </m:ctrlPr>
          </m:sSubPr>
          <m:e>
            <m:r>
              <m:rPr>
                <m:sty m:val="p"/>
              </m:rPr>
              <w:rPr>
                <w:rFonts w:ascii="Cambria Math" w:hAnsi="Cambria Math" w:cstheme="majorBidi"/>
              </w:rPr>
              <m:t>ψ</m:t>
            </m:r>
            <m:ctrlPr>
              <w:rPr>
                <w:rFonts w:ascii="Cambria Math" w:hAnsi="Cambria Math" w:cstheme="majorBidi"/>
              </w:rPr>
            </m:ctrlPr>
          </m:e>
          <m:sub>
            <m:r>
              <w:rPr>
                <w:rFonts w:ascii="Cambria Math" w:hAnsi="Cambria Math" w:cstheme="majorBidi"/>
              </w:rPr>
              <m:t>x</m:t>
            </m:r>
          </m:sub>
        </m:sSub>
      </m:oMath>
      <w:r w:rsidR="00D96A14">
        <w:rPr>
          <w:rFonts w:asciiTheme="majorBidi" w:hAnsiTheme="majorBidi" w:cstheme="majorBidi"/>
        </w:rPr>
        <w:t xml:space="preserve"> </w:t>
      </w:r>
      <w:r>
        <w:rPr>
          <w:rFonts w:asciiTheme="majorBidi" w:hAnsiTheme="majorBidi" w:cstheme="majorBidi"/>
        </w:rPr>
        <w:tab/>
      </w:r>
      <w:r w:rsidR="00D96A14">
        <w:rPr>
          <w:rFonts w:asciiTheme="majorBidi" w:hAnsiTheme="majorBidi" w:cstheme="majorBidi"/>
        </w:rPr>
        <w:t>(</w:t>
      </w:r>
      <w:r w:rsidR="00421348">
        <w:rPr>
          <w:rFonts w:asciiTheme="majorBidi" w:hAnsiTheme="majorBidi" w:cstheme="majorBidi"/>
        </w:rPr>
        <w:t>2</w:t>
      </w:r>
      <w:r w:rsidR="00D96A14">
        <w:rPr>
          <w:rFonts w:asciiTheme="majorBidi" w:hAnsiTheme="majorBidi" w:cstheme="majorBidi"/>
        </w:rPr>
        <w:t>)</w:t>
      </w:r>
    </w:p>
    <w:p w14:paraId="02A034A3" w14:textId="77777777" w:rsidR="00B676E5" w:rsidRDefault="00B676E5" w:rsidP="00643B41">
      <w:pPr>
        <w:pStyle w:val="Paragraph"/>
        <w:rPr>
          <w:rFonts w:asciiTheme="majorBidi" w:hAnsiTheme="majorBidi" w:cstheme="majorBidi"/>
        </w:rPr>
      </w:pPr>
    </w:p>
    <w:p w14:paraId="622D5232" w14:textId="2459BBC7" w:rsidR="00B676E5" w:rsidRDefault="00B676E5" w:rsidP="00336DA8">
      <w:pPr>
        <w:pStyle w:val="Paragraph"/>
        <w:ind w:firstLine="288"/>
        <w:rPr>
          <w:rFonts w:asciiTheme="majorBidi" w:hAnsiTheme="majorBidi" w:cstheme="majorBidi"/>
        </w:rPr>
      </w:pPr>
      <w:r w:rsidRPr="00B676E5">
        <w:rPr>
          <w:rFonts w:asciiTheme="majorBidi" w:hAnsiTheme="majorBidi" w:cstheme="majorBidi"/>
        </w:rPr>
        <w:t>In this study, there are various drawbacks explained which involve both outdated data gathering and incomplete analysis of distinct animal behavior under urban distress circumstances. The research fails to provide adequate quality analysis of green spaces or investigate the effect of urban-to-non-urban transition zones making essential updates necessary for effective biodiversity loss prevention strategies.</w:t>
      </w:r>
    </w:p>
    <w:p w14:paraId="3D8DC0E4" w14:textId="7FB73914" w:rsidR="00B676E5" w:rsidRPr="006B581B" w:rsidRDefault="00B676E5" w:rsidP="00336DA8">
      <w:pPr>
        <w:pStyle w:val="Paragraph"/>
        <w:ind w:firstLine="288"/>
        <w:rPr>
          <w:rFonts w:ascii="Cambria Math" w:hAnsi="Cambria Math"/>
          <w:oMath/>
        </w:rPr>
      </w:pPr>
      <w:r w:rsidRPr="00B676E5">
        <w:rPr>
          <w:rFonts w:asciiTheme="majorBidi" w:hAnsiTheme="majorBidi" w:cstheme="majorBidi"/>
        </w:rPr>
        <w:t>Although limited by certain factors the research adds relevant knowledge about biodiversity patterns in Bangladesh. The study presents valuable recommendations to protect biodiversity which aims to boost conservation efforts during the era of urbanization and environmental transformation.</w:t>
      </w:r>
    </w:p>
    <w:p w14:paraId="62FB2DDB" w14:textId="634792E5" w:rsidR="003B0151" w:rsidRDefault="003B0151" w:rsidP="00336DA8">
      <w:pPr>
        <w:pStyle w:val="Heading1"/>
        <w:rPr>
          <w:b w:val="0"/>
          <w:caps w:val="0"/>
          <w:sz w:val="20"/>
        </w:rPr>
      </w:pPr>
      <w:r>
        <w:rPr>
          <w:rFonts w:asciiTheme="majorBidi" w:hAnsiTheme="majorBidi" w:cstheme="majorBidi"/>
        </w:rPr>
        <w:t>results</w:t>
      </w:r>
    </w:p>
    <w:p w14:paraId="7CD7B261" w14:textId="0DA5BAFD" w:rsidR="00B676E5" w:rsidRDefault="00B676E5" w:rsidP="00336DA8">
      <w:pPr>
        <w:pStyle w:val="Paragraph"/>
        <w:ind w:firstLine="288"/>
        <w:rPr>
          <w:rFonts w:asciiTheme="majorBidi" w:hAnsiTheme="majorBidi" w:cstheme="majorBidi"/>
        </w:rPr>
      </w:pPr>
      <w:r w:rsidRPr="00B676E5">
        <w:rPr>
          <w:rFonts w:asciiTheme="majorBidi" w:hAnsiTheme="majorBidi" w:cstheme="majorBidi"/>
        </w:rPr>
        <w:t>Table</w:t>
      </w:r>
      <w:r w:rsidR="00D96A14">
        <w:rPr>
          <w:rFonts w:asciiTheme="majorBidi" w:hAnsiTheme="majorBidi" w:cstheme="majorBidi"/>
        </w:rPr>
        <w:t xml:space="preserve"> 1</w:t>
      </w:r>
      <w:r w:rsidRPr="00B676E5">
        <w:rPr>
          <w:rFonts w:asciiTheme="majorBidi" w:hAnsiTheme="majorBidi" w:cstheme="majorBidi"/>
        </w:rPr>
        <w:t xml:space="preserve"> shows the dramatic increase in urban dwellers who coincided with the reduction of green areas throughout twenty years. Between 2000 and 2020 the population in cities expanded from 35.7 million to 60.4 million which represents about </w:t>
      </w:r>
      <w:proofErr w:type="gramStart"/>
      <w:r w:rsidRPr="00B676E5">
        <w:rPr>
          <w:rFonts w:asciiTheme="majorBidi" w:hAnsiTheme="majorBidi" w:cstheme="majorBidi"/>
        </w:rPr>
        <w:t>a 69</w:t>
      </w:r>
      <w:proofErr w:type="gramEnd"/>
      <w:r w:rsidRPr="00B676E5">
        <w:rPr>
          <w:rFonts w:asciiTheme="majorBidi" w:hAnsiTheme="majorBidi" w:cstheme="majorBidi"/>
        </w:rPr>
        <w:t>% growth. The reduction of green space accelerated at a fast pace because urbanization drove green spaces to decline by 15% between 2000 and 2020. Nature's loss reveals numerous negative impacts on biodiversity since habitat destruction causes animals to relocate while eliminating various species and disturbing the natural environment.</w:t>
      </w:r>
    </w:p>
    <w:p w14:paraId="200FAA23" w14:textId="77777777" w:rsidR="00321802" w:rsidRPr="00171A43" w:rsidRDefault="00321802" w:rsidP="00336DA8">
      <w:pPr>
        <w:pStyle w:val="Paragraph"/>
        <w:ind w:firstLine="288"/>
        <w:rPr>
          <w:rFonts w:asciiTheme="majorBidi" w:hAnsiTheme="majorBidi" w:cstheme="majorBidi"/>
        </w:rPr>
      </w:pPr>
    </w:p>
    <w:tbl>
      <w:tblPr>
        <w:tblStyle w:val="TableGrid"/>
        <w:tblW w:w="0" w:type="auto"/>
        <w:jc w:val="center"/>
        <w:tblLook w:val="04A0" w:firstRow="1" w:lastRow="0" w:firstColumn="1" w:lastColumn="0" w:noHBand="0" w:noVBand="1"/>
      </w:tblPr>
      <w:tblGrid>
        <w:gridCol w:w="891"/>
        <w:gridCol w:w="2439"/>
        <w:gridCol w:w="2520"/>
      </w:tblGrid>
      <w:tr w:rsidR="00171A43" w:rsidRPr="00171A43" w14:paraId="58E7BC2B" w14:textId="77777777" w:rsidTr="00171A43">
        <w:trPr>
          <w:trHeight w:val="255"/>
          <w:jc w:val="center"/>
        </w:trPr>
        <w:tc>
          <w:tcPr>
            <w:tcW w:w="5850" w:type="dxa"/>
            <w:gridSpan w:val="3"/>
            <w:tcBorders>
              <w:top w:val="nil"/>
              <w:left w:val="nil"/>
              <w:bottom w:val="single" w:sz="4" w:space="0" w:color="auto"/>
              <w:right w:val="nil"/>
            </w:tcBorders>
            <w:vAlign w:val="center"/>
          </w:tcPr>
          <w:p w14:paraId="6B5938DF" w14:textId="7BAF9C89" w:rsidR="00171A43" w:rsidRPr="00171A43" w:rsidRDefault="00171A43" w:rsidP="00336DA8">
            <w:pPr>
              <w:pStyle w:val="Paragraph"/>
              <w:spacing w:before="120"/>
              <w:ind w:firstLine="0"/>
              <w:jc w:val="center"/>
              <w:rPr>
                <w:rFonts w:asciiTheme="majorBidi" w:hAnsiTheme="majorBidi" w:cstheme="majorBidi"/>
                <w:sz w:val="18"/>
                <w:szCs w:val="18"/>
              </w:rPr>
            </w:pPr>
            <w:r w:rsidRPr="00171A43">
              <w:rPr>
                <w:rFonts w:asciiTheme="majorBidi" w:hAnsiTheme="majorBidi" w:cstheme="majorBidi"/>
                <w:b/>
                <w:bCs/>
                <w:sz w:val="18"/>
                <w:szCs w:val="18"/>
              </w:rPr>
              <w:t xml:space="preserve">TABLE 1. </w:t>
            </w:r>
            <w:r w:rsidRPr="00171A43">
              <w:rPr>
                <w:rFonts w:asciiTheme="majorBidi" w:hAnsiTheme="majorBidi" w:cstheme="majorBidi"/>
                <w:sz w:val="18"/>
                <w:szCs w:val="18"/>
              </w:rPr>
              <w:t xml:space="preserve">Urban </w:t>
            </w:r>
            <w:r w:rsidR="00B45432">
              <w:rPr>
                <w:rFonts w:asciiTheme="majorBidi" w:hAnsiTheme="majorBidi" w:cstheme="majorBidi"/>
                <w:sz w:val="18"/>
                <w:szCs w:val="18"/>
              </w:rPr>
              <w:t>e</w:t>
            </w:r>
            <w:r w:rsidRPr="00171A43">
              <w:rPr>
                <w:rFonts w:asciiTheme="majorBidi" w:hAnsiTheme="majorBidi" w:cstheme="majorBidi"/>
                <w:sz w:val="18"/>
                <w:szCs w:val="18"/>
              </w:rPr>
              <w:t xml:space="preserve">xpansion and </w:t>
            </w:r>
            <w:r w:rsidR="00B45432">
              <w:rPr>
                <w:rFonts w:asciiTheme="majorBidi" w:hAnsiTheme="majorBidi" w:cstheme="majorBidi"/>
                <w:sz w:val="18"/>
                <w:szCs w:val="18"/>
              </w:rPr>
              <w:t>g</w:t>
            </w:r>
            <w:r w:rsidRPr="00171A43">
              <w:rPr>
                <w:rFonts w:asciiTheme="majorBidi" w:hAnsiTheme="majorBidi" w:cstheme="majorBidi"/>
                <w:sz w:val="18"/>
                <w:szCs w:val="18"/>
              </w:rPr>
              <w:t xml:space="preserve">reen </w:t>
            </w:r>
            <w:r w:rsidR="00B45432">
              <w:rPr>
                <w:rFonts w:asciiTheme="majorBidi" w:hAnsiTheme="majorBidi" w:cstheme="majorBidi"/>
                <w:sz w:val="18"/>
                <w:szCs w:val="18"/>
              </w:rPr>
              <w:t>s</w:t>
            </w:r>
            <w:r w:rsidRPr="00171A43">
              <w:rPr>
                <w:rFonts w:asciiTheme="majorBidi" w:hAnsiTheme="majorBidi" w:cstheme="majorBidi"/>
                <w:sz w:val="18"/>
                <w:szCs w:val="18"/>
              </w:rPr>
              <w:t xml:space="preserve">pace </w:t>
            </w:r>
            <w:r w:rsidR="00B45432">
              <w:rPr>
                <w:rFonts w:asciiTheme="majorBidi" w:hAnsiTheme="majorBidi" w:cstheme="majorBidi"/>
                <w:sz w:val="18"/>
                <w:szCs w:val="18"/>
              </w:rPr>
              <w:t>r</w:t>
            </w:r>
            <w:r w:rsidRPr="00171A43">
              <w:rPr>
                <w:rFonts w:asciiTheme="majorBidi" w:hAnsiTheme="majorBidi" w:cstheme="majorBidi"/>
                <w:sz w:val="18"/>
                <w:szCs w:val="18"/>
              </w:rPr>
              <w:t>eduction in Bangladesh [16]</w:t>
            </w:r>
          </w:p>
        </w:tc>
      </w:tr>
      <w:tr w:rsidR="00B676E5" w:rsidRPr="00171A43" w14:paraId="187FE61C" w14:textId="77777777" w:rsidTr="00171A43">
        <w:trPr>
          <w:trHeight w:val="255"/>
          <w:jc w:val="center"/>
        </w:trPr>
        <w:tc>
          <w:tcPr>
            <w:tcW w:w="891" w:type="dxa"/>
            <w:tcBorders>
              <w:top w:val="single" w:sz="4" w:space="0" w:color="auto"/>
              <w:left w:val="nil"/>
              <w:bottom w:val="single" w:sz="4" w:space="0" w:color="auto"/>
              <w:right w:val="nil"/>
            </w:tcBorders>
            <w:vAlign w:val="center"/>
          </w:tcPr>
          <w:p w14:paraId="23FBAE75" w14:textId="094409BB" w:rsidR="00B676E5" w:rsidRPr="00171A43" w:rsidRDefault="00B676E5" w:rsidP="00643B41">
            <w:pPr>
              <w:pStyle w:val="Paragraph"/>
              <w:ind w:firstLine="0"/>
              <w:jc w:val="center"/>
              <w:rPr>
                <w:rFonts w:asciiTheme="majorBidi" w:hAnsiTheme="majorBidi" w:cstheme="majorBidi"/>
                <w:b/>
                <w:bCs/>
                <w:sz w:val="18"/>
                <w:szCs w:val="18"/>
              </w:rPr>
            </w:pPr>
            <w:r w:rsidRPr="00171A43">
              <w:rPr>
                <w:rFonts w:asciiTheme="majorBidi" w:hAnsiTheme="majorBidi" w:cstheme="majorBidi"/>
                <w:b/>
                <w:bCs/>
                <w:sz w:val="18"/>
                <w:szCs w:val="18"/>
              </w:rPr>
              <w:t>Year</w:t>
            </w:r>
          </w:p>
        </w:tc>
        <w:tc>
          <w:tcPr>
            <w:tcW w:w="2439" w:type="dxa"/>
            <w:tcBorders>
              <w:top w:val="single" w:sz="4" w:space="0" w:color="auto"/>
              <w:left w:val="nil"/>
              <w:bottom w:val="single" w:sz="4" w:space="0" w:color="auto"/>
              <w:right w:val="nil"/>
            </w:tcBorders>
            <w:vAlign w:val="center"/>
          </w:tcPr>
          <w:p w14:paraId="09608461" w14:textId="4299D00E" w:rsidR="00B676E5" w:rsidRPr="00171A43" w:rsidRDefault="00B676E5" w:rsidP="00643B41">
            <w:pPr>
              <w:pStyle w:val="Paragraph"/>
              <w:ind w:firstLine="0"/>
              <w:jc w:val="center"/>
              <w:rPr>
                <w:rFonts w:asciiTheme="majorBidi" w:hAnsiTheme="majorBidi" w:cstheme="majorBidi"/>
                <w:b/>
                <w:bCs/>
                <w:sz w:val="18"/>
                <w:szCs w:val="18"/>
              </w:rPr>
            </w:pPr>
            <w:r w:rsidRPr="00171A43">
              <w:rPr>
                <w:rFonts w:asciiTheme="majorBidi" w:hAnsiTheme="majorBidi" w:cstheme="majorBidi"/>
                <w:b/>
                <w:bCs/>
                <w:sz w:val="18"/>
                <w:szCs w:val="18"/>
              </w:rPr>
              <w:t>Urban Population (Million)</w:t>
            </w:r>
          </w:p>
        </w:tc>
        <w:tc>
          <w:tcPr>
            <w:tcW w:w="2520" w:type="dxa"/>
            <w:tcBorders>
              <w:top w:val="single" w:sz="4" w:space="0" w:color="auto"/>
              <w:left w:val="nil"/>
              <w:bottom w:val="single" w:sz="4" w:space="0" w:color="auto"/>
              <w:right w:val="nil"/>
            </w:tcBorders>
            <w:vAlign w:val="center"/>
          </w:tcPr>
          <w:p w14:paraId="56C32C1B" w14:textId="0D99E441" w:rsidR="00B676E5" w:rsidRPr="00171A43" w:rsidRDefault="00B676E5" w:rsidP="00643B41">
            <w:pPr>
              <w:pStyle w:val="Paragraph"/>
              <w:ind w:firstLine="0"/>
              <w:jc w:val="center"/>
              <w:rPr>
                <w:rFonts w:asciiTheme="majorBidi" w:hAnsiTheme="majorBidi" w:cstheme="majorBidi"/>
                <w:b/>
                <w:bCs/>
                <w:sz w:val="18"/>
                <w:szCs w:val="18"/>
              </w:rPr>
            </w:pPr>
            <w:r w:rsidRPr="00171A43">
              <w:rPr>
                <w:rFonts w:asciiTheme="majorBidi" w:hAnsiTheme="majorBidi" w:cstheme="majorBidi"/>
                <w:b/>
                <w:bCs/>
                <w:sz w:val="18"/>
                <w:szCs w:val="18"/>
              </w:rPr>
              <w:t>Green Space Reduction (%)</w:t>
            </w:r>
          </w:p>
        </w:tc>
      </w:tr>
      <w:tr w:rsidR="00B676E5" w14:paraId="785067A5" w14:textId="77777777" w:rsidTr="00171A43">
        <w:trPr>
          <w:trHeight w:val="255"/>
          <w:jc w:val="center"/>
        </w:trPr>
        <w:tc>
          <w:tcPr>
            <w:tcW w:w="891" w:type="dxa"/>
            <w:tcBorders>
              <w:left w:val="nil"/>
              <w:bottom w:val="nil"/>
              <w:right w:val="nil"/>
            </w:tcBorders>
            <w:vAlign w:val="center"/>
          </w:tcPr>
          <w:p w14:paraId="7DAB7751" w14:textId="44780B9D" w:rsidR="00B676E5" w:rsidRDefault="00B676E5" w:rsidP="00643B41">
            <w:pPr>
              <w:pStyle w:val="Paragraph"/>
              <w:ind w:firstLine="0"/>
              <w:jc w:val="center"/>
              <w:rPr>
                <w:rFonts w:asciiTheme="majorBidi" w:hAnsiTheme="majorBidi" w:cstheme="majorBidi"/>
              </w:rPr>
            </w:pPr>
            <w:r>
              <w:rPr>
                <w:rFonts w:asciiTheme="majorBidi" w:hAnsiTheme="majorBidi" w:cstheme="majorBidi"/>
              </w:rPr>
              <w:t>2000</w:t>
            </w:r>
          </w:p>
        </w:tc>
        <w:tc>
          <w:tcPr>
            <w:tcW w:w="2439" w:type="dxa"/>
            <w:tcBorders>
              <w:left w:val="nil"/>
              <w:bottom w:val="nil"/>
              <w:right w:val="nil"/>
            </w:tcBorders>
            <w:vAlign w:val="center"/>
          </w:tcPr>
          <w:p w14:paraId="360D52A4" w14:textId="74769C60" w:rsidR="00B676E5" w:rsidRDefault="00B676E5" w:rsidP="00643B41">
            <w:pPr>
              <w:pStyle w:val="Paragraph"/>
              <w:ind w:firstLine="0"/>
              <w:jc w:val="center"/>
              <w:rPr>
                <w:rFonts w:asciiTheme="majorBidi" w:hAnsiTheme="majorBidi" w:cstheme="majorBidi"/>
              </w:rPr>
            </w:pPr>
            <w:r w:rsidRPr="00B676E5">
              <w:rPr>
                <w:rFonts w:asciiTheme="majorBidi" w:hAnsiTheme="majorBidi" w:cstheme="majorBidi"/>
              </w:rPr>
              <w:t>35.7</w:t>
            </w:r>
          </w:p>
        </w:tc>
        <w:tc>
          <w:tcPr>
            <w:tcW w:w="2520" w:type="dxa"/>
            <w:tcBorders>
              <w:left w:val="nil"/>
              <w:bottom w:val="nil"/>
              <w:right w:val="nil"/>
            </w:tcBorders>
            <w:vAlign w:val="center"/>
          </w:tcPr>
          <w:p w14:paraId="38282CEE" w14:textId="6B2F41F1" w:rsidR="00B676E5" w:rsidRDefault="00B676E5" w:rsidP="00643B41">
            <w:pPr>
              <w:pStyle w:val="Paragraph"/>
              <w:ind w:firstLine="0"/>
              <w:jc w:val="center"/>
              <w:rPr>
                <w:rFonts w:asciiTheme="majorBidi" w:hAnsiTheme="majorBidi" w:cstheme="majorBidi"/>
              </w:rPr>
            </w:pPr>
            <w:r>
              <w:rPr>
                <w:rFonts w:asciiTheme="majorBidi" w:hAnsiTheme="majorBidi" w:cstheme="majorBidi"/>
              </w:rPr>
              <w:t>10</w:t>
            </w:r>
          </w:p>
        </w:tc>
      </w:tr>
      <w:tr w:rsidR="00B676E5" w14:paraId="0F5DAA0E" w14:textId="77777777" w:rsidTr="00171A43">
        <w:trPr>
          <w:trHeight w:val="255"/>
          <w:jc w:val="center"/>
        </w:trPr>
        <w:tc>
          <w:tcPr>
            <w:tcW w:w="891" w:type="dxa"/>
            <w:tcBorders>
              <w:top w:val="nil"/>
              <w:left w:val="nil"/>
              <w:bottom w:val="nil"/>
              <w:right w:val="nil"/>
            </w:tcBorders>
            <w:vAlign w:val="center"/>
          </w:tcPr>
          <w:p w14:paraId="3FA52631" w14:textId="737547A3" w:rsidR="00B676E5" w:rsidRDefault="00B676E5" w:rsidP="00643B41">
            <w:pPr>
              <w:pStyle w:val="Paragraph"/>
              <w:ind w:firstLine="0"/>
              <w:jc w:val="center"/>
              <w:rPr>
                <w:rFonts w:asciiTheme="majorBidi" w:hAnsiTheme="majorBidi" w:cstheme="majorBidi"/>
              </w:rPr>
            </w:pPr>
            <w:r>
              <w:rPr>
                <w:rFonts w:asciiTheme="majorBidi" w:hAnsiTheme="majorBidi" w:cstheme="majorBidi"/>
              </w:rPr>
              <w:t>2010</w:t>
            </w:r>
          </w:p>
        </w:tc>
        <w:tc>
          <w:tcPr>
            <w:tcW w:w="2439" w:type="dxa"/>
            <w:tcBorders>
              <w:top w:val="nil"/>
              <w:left w:val="nil"/>
              <w:bottom w:val="nil"/>
              <w:right w:val="nil"/>
            </w:tcBorders>
            <w:vAlign w:val="center"/>
          </w:tcPr>
          <w:p w14:paraId="3DB70C61" w14:textId="365C6B6C" w:rsidR="00B676E5" w:rsidRDefault="00B676E5" w:rsidP="00643B41">
            <w:pPr>
              <w:pStyle w:val="Paragraph"/>
              <w:ind w:firstLine="0"/>
              <w:jc w:val="center"/>
              <w:rPr>
                <w:rFonts w:asciiTheme="majorBidi" w:hAnsiTheme="majorBidi" w:cstheme="majorBidi"/>
              </w:rPr>
            </w:pPr>
            <w:r w:rsidRPr="00B676E5">
              <w:rPr>
                <w:rFonts w:asciiTheme="majorBidi" w:hAnsiTheme="majorBidi" w:cstheme="majorBidi"/>
              </w:rPr>
              <w:t>45.3</w:t>
            </w:r>
          </w:p>
        </w:tc>
        <w:tc>
          <w:tcPr>
            <w:tcW w:w="2520" w:type="dxa"/>
            <w:tcBorders>
              <w:top w:val="nil"/>
              <w:left w:val="nil"/>
              <w:bottom w:val="nil"/>
              <w:right w:val="nil"/>
            </w:tcBorders>
            <w:vAlign w:val="center"/>
          </w:tcPr>
          <w:p w14:paraId="3262B244" w14:textId="7F0E7A46" w:rsidR="00B676E5" w:rsidRDefault="00B676E5" w:rsidP="00643B41">
            <w:pPr>
              <w:pStyle w:val="Paragraph"/>
              <w:ind w:firstLine="0"/>
              <w:jc w:val="center"/>
              <w:rPr>
                <w:rFonts w:asciiTheme="majorBidi" w:hAnsiTheme="majorBidi" w:cstheme="majorBidi"/>
              </w:rPr>
            </w:pPr>
            <w:r>
              <w:rPr>
                <w:rFonts w:asciiTheme="majorBidi" w:hAnsiTheme="majorBidi" w:cstheme="majorBidi"/>
              </w:rPr>
              <w:t>15</w:t>
            </w:r>
          </w:p>
        </w:tc>
      </w:tr>
      <w:tr w:rsidR="00B676E5" w14:paraId="1E62D985" w14:textId="77777777" w:rsidTr="00171A43">
        <w:trPr>
          <w:trHeight w:val="255"/>
          <w:jc w:val="center"/>
        </w:trPr>
        <w:tc>
          <w:tcPr>
            <w:tcW w:w="891" w:type="dxa"/>
            <w:tcBorders>
              <w:top w:val="nil"/>
              <w:left w:val="nil"/>
              <w:right w:val="nil"/>
            </w:tcBorders>
            <w:vAlign w:val="center"/>
          </w:tcPr>
          <w:p w14:paraId="17519C47" w14:textId="78B83DF0" w:rsidR="00B676E5" w:rsidRDefault="00B676E5" w:rsidP="00643B41">
            <w:pPr>
              <w:pStyle w:val="Paragraph"/>
              <w:ind w:firstLine="0"/>
              <w:jc w:val="center"/>
              <w:rPr>
                <w:rFonts w:asciiTheme="majorBidi" w:hAnsiTheme="majorBidi" w:cstheme="majorBidi"/>
              </w:rPr>
            </w:pPr>
            <w:r>
              <w:rPr>
                <w:rFonts w:asciiTheme="majorBidi" w:hAnsiTheme="majorBidi" w:cstheme="majorBidi"/>
              </w:rPr>
              <w:t>2020</w:t>
            </w:r>
          </w:p>
        </w:tc>
        <w:tc>
          <w:tcPr>
            <w:tcW w:w="2439" w:type="dxa"/>
            <w:tcBorders>
              <w:top w:val="nil"/>
              <w:left w:val="nil"/>
              <w:right w:val="nil"/>
            </w:tcBorders>
            <w:vAlign w:val="center"/>
          </w:tcPr>
          <w:p w14:paraId="30E50452" w14:textId="46A8C6AC" w:rsidR="00B676E5" w:rsidRDefault="00B676E5" w:rsidP="00643B41">
            <w:pPr>
              <w:pStyle w:val="Paragraph"/>
              <w:ind w:firstLine="0"/>
              <w:jc w:val="center"/>
              <w:rPr>
                <w:rFonts w:asciiTheme="majorBidi" w:hAnsiTheme="majorBidi" w:cstheme="majorBidi"/>
              </w:rPr>
            </w:pPr>
            <w:r w:rsidRPr="00B676E5">
              <w:rPr>
                <w:rFonts w:asciiTheme="majorBidi" w:hAnsiTheme="majorBidi" w:cstheme="majorBidi"/>
              </w:rPr>
              <w:t>60.4</w:t>
            </w:r>
          </w:p>
        </w:tc>
        <w:tc>
          <w:tcPr>
            <w:tcW w:w="2520" w:type="dxa"/>
            <w:tcBorders>
              <w:top w:val="nil"/>
              <w:left w:val="nil"/>
              <w:right w:val="nil"/>
            </w:tcBorders>
            <w:vAlign w:val="center"/>
          </w:tcPr>
          <w:p w14:paraId="5CE37DED" w14:textId="0EB810D0" w:rsidR="00B676E5" w:rsidRDefault="00B676E5" w:rsidP="00643B41">
            <w:pPr>
              <w:pStyle w:val="Paragraph"/>
              <w:ind w:firstLine="0"/>
              <w:jc w:val="center"/>
              <w:rPr>
                <w:rFonts w:asciiTheme="majorBidi" w:hAnsiTheme="majorBidi" w:cstheme="majorBidi"/>
              </w:rPr>
            </w:pPr>
            <w:r>
              <w:rPr>
                <w:rFonts w:asciiTheme="majorBidi" w:hAnsiTheme="majorBidi" w:cstheme="majorBidi"/>
              </w:rPr>
              <w:t>25</w:t>
            </w:r>
          </w:p>
        </w:tc>
      </w:tr>
    </w:tbl>
    <w:p w14:paraId="39A80A18" w14:textId="77777777" w:rsidR="00D96A14" w:rsidRDefault="00D96A14" w:rsidP="00643B41">
      <w:pPr>
        <w:pStyle w:val="Paragraph"/>
        <w:rPr>
          <w:rFonts w:asciiTheme="majorBidi" w:hAnsiTheme="majorBidi" w:cstheme="majorBidi"/>
        </w:rPr>
      </w:pPr>
    </w:p>
    <w:p w14:paraId="7518C519" w14:textId="25E768B1" w:rsidR="00B676E5" w:rsidRDefault="00B676E5" w:rsidP="00643B41">
      <w:pPr>
        <w:pStyle w:val="Paragraph"/>
        <w:rPr>
          <w:rFonts w:asciiTheme="majorBidi" w:hAnsiTheme="majorBidi" w:cstheme="majorBidi"/>
        </w:rPr>
      </w:pPr>
      <w:r w:rsidRPr="00B676E5">
        <w:rPr>
          <w:rFonts w:asciiTheme="majorBidi" w:hAnsiTheme="majorBidi" w:cstheme="majorBidi"/>
        </w:rPr>
        <w:t>Figure 1(a) shows that from 2000 to 2019 how urban expansion in Bangladesh grew significantly by eating into natural areas and rural land bases. Urban territory registered substantial enlargement from its 2000 measurement of 24,367 sq. km to reach 30,016 sq. km in 2019. A decrease occurred in forest area coverage from 19,203 sq. km in 2000 to 18,834 sq. km in 2019 which demonstrates deforestation.</w:t>
      </w:r>
    </w:p>
    <w:p w14:paraId="33B67A89" w14:textId="77777777" w:rsidR="00B676E5" w:rsidRPr="00B676E5" w:rsidRDefault="00B676E5" w:rsidP="00643B41">
      <w:pPr>
        <w:pStyle w:val="Paragraph"/>
        <w:rPr>
          <w:rFonts w:asciiTheme="majorBidi" w:hAnsiTheme="majorBidi" w:cstheme="majorBidi"/>
        </w:rPr>
      </w:pPr>
      <w:r w:rsidRPr="00B676E5">
        <w:rPr>
          <w:rFonts w:asciiTheme="majorBidi" w:hAnsiTheme="majorBidi" w:cstheme="majorBidi"/>
        </w:rPr>
        <w:t>The changes in land use have resulted in the decreasing numbers of wildlife species which Figure 1(b) illustrates. The recorded wildlife species numbers demonstrate a consistent falling trend between 2012 and 2019 which reduced from 1,250 to 920. Evidence shows habitat destruction together with urbanization and agricultural expansion as possible factors that led to biodiversity reduction.</w:t>
      </w:r>
    </w:p>
    <w:p w14:paraId="360F6415" w14:textId="77777777" w:rsidR="00171A43" w:rsidRDefault="00171A43" w:rsidP="00643B41">
      <w:pPr>
        <w:pStyle w:val="Paragraph"/>
        <w:rPr>
          <w:rFonts w:asciiTheme="majorBidi" w:hAnsiTheme="majorBidi" w:cstheme="majorBidi"/>
        </w:rPr>
      </w:pPr>
    </w:p>
    <w:p w14:paraId="381C1F38" w14:textId="3A1CFDE4" w:rsidR="00B676E5" w:rsidRPr="00D96A14" w:rsidRDefault="00B676E5" w:rsidP="00336DA8">
      <w:pPr>
        <w:pStyle w:val="Paragraph"/>
        <w:spacing w:before="120"/>
        <w:ind w:firstLine="288"/>
        <w:jc w:val="center"/>
        <w:rPr>
          <w:rFonts w:asciiTheme="majorBidi" w:hAnsiTheme="majorBidi" w:cstheme="majorBidi"/>
          <w:sz w:val="18"/>
          <w:szCs w:val="18"/>
        </w:rPr>
      </w:pPr>
      <w:r>
        <w:rPr>
          <w:rFonts w:asciiTheme="majorBidi" w:hAnsiTheme="majorBidi" w:cstheme="majorBidi"/>
          <w:noProof/>
        </w:rPr>
        <w:lastRenderedPageBreak/>
        <w:drawing>
          <wp:anchor distT="0" distB="0" distL="114300" distR="114300" simplePos="0" relativeHeight="251658240" behindDoc="0" locked="0" layoutInCell="1" allowOverlap="1" wp14:anchorId="0EF67A0C" wp14:editId="1FB77224">
            <wp:simplePos x="0" y="0"/>
            <wp:positionH relativeFrom="margin">
              <wp:align>center</wp:align>
            </wp:positionH>
            <wp:positionV relativeFrom="paragraph">
              <wp:posOffset>0</wp:posOffset>
            </wp:positionV>
            <wp:extent cx="5981294" cy="2011680"/>
            <wp:effectExtent l="0" t="0" r="635" b="762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81294" cy="20116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E2559">
        <w:rPr>
          <w:b/>
          <w:bCs/>
          <w:sz w:val="18"/>
          <w:szCs w:val="18"/>
        </w:rPr>
        <w:t>FIGURE</w:t>
      </w:r>
      <w:r w:rsidRPr="00D96A14">
        <w:rPr>
          <w:rFonts w:asciiTheme="majorBidi" w:hAnsiTheme="majorBidi" w:cstheme="majorBidi"/>
          <w:b/>
          <w:bCs/>
          <w:sz w:val="18"/>
          <w:szCs w:val="18"/>
        </w:rPr>
        <w:t xml:space="preserve"> 1.</w:t>
      </w:r>
      <w:r w:rsidRPr="00D96A14">
        <w:rPr>
          <w:rFonts w:asciiTheme="majorBidi" w:hAnsiTheme="majorBidi" w:cstheme="majorBidi"/>
          <w:sz w:val="18"/>
          <w:szCs w:val="18"/>
        </w:rPr>
        <w:t xml:space="preserve"> (a) Changes in </w:t>
      </w:r>
      <w:r w:rsidR="00D0482D">
        <w:rPr>
          <w:rFonts w:asciiTheme="majorBidi" w:hAnsiTheme="majorBidi" w:cstheme="majorBidi"/>
          <w:sz w:val="18"/>
          <w:szCs w:val="18"/>
        </w:rPr>
        <w:t>l</w:t>
      </w:r>
      <w:r w:rsidRPr="00D96A14">
        <w:rPr>
          <w:rFonts w:asciiTheme="majorBidi" w:hAnsiTheme="majorBidi" w:cstheme="majorBidi"/>
          <w:sz w:val="18"/>
          <w:szCs w:val="18"/>
        </w:rPr>
        <w:t xml:space="preserve">and </w:t>
      </w:r>
      <w:r w:rsidR="00D0482D">
        <w:rPr>
          <w:rFonts w:asciiTheme="majorBidi" w:hAnsiTheme="majorBidi" w:cstheme="majorBidi"/>
          <w:sz w:val="18"/>
          <w:szCs w:val="18"/>
        </w:rPr>
        <w:t>u</w:t>
      </w:r>
      <w:r w:rsidRPr="00D96A14">
        <w:rPr>
          <w:rFonts w:asciiTheme="majorBidi" w:hAnsiTheme="majorBidi" w:cstheme="majorBidi"/>
          <w:sz w:val="18"/>
          <w:szCs w:val="18"/>
        </w:rPr>
        <w:t xml:space="preserve">se </w:t>
      </w:r>
      <w:r w:rsidR="00D0482D">
        <w:rPr>
          <w:rFonts w:asciiTheme="majorBidi" w:hAnsiTheme="majorBidi" w:cstheme="majorBidi"/>
          <w:sz w:val="18"/>
          <w:szCs w:val="18"/>
        </w:rPr>
        <w:t>o</w:t>
      </w:r>
      <w:r w:rsidRPr="00D96A14">
        <w:rPr>
          <w:rFonts w:asciiTheme="majorBidi" w:hAnsiTheme="majorBidi" w:cstheme="majorBidi"/>
          <w:sz w:val="18"/>
          <w:szCs w:val="18"/>
        </w:rPr>
        <w:t xml:space="preserve">ver </w:t>
      </w:r>
      <w:r w:rsidR="00D0482D">
        <w:rPr>
          <w:rFonts w:asciiTheme="majorBidi" w:hAnsiTheme="majorBidi" w:cstheme="majorBidi"/>
          <w:sz w:val="18"/>
          <w:szCs w:val="18"/>
        </w:rPr>
        <w:t>t</w:t>
      </w:r>
      <w:r w:rsidRPr="00D96A14">
        <w:rPr>
          <w:rFonts w:asciiTheme="majorBidi" w:hAnsiTheme="majorBidi" w:cstheme="majorBidi"/>
          <w:sz w:val="18"/>
          <w:szCs w:val="18"/>
        </w:rPr>
        <w:t xml:space="preserve">ime in Bangladesh (b) </w:t>
      </w:r>
      <w:r w:rsidR="00844BE3">
        <w:rPr>
          <w:rFonts w:asciiTheme="majorBidi" w:hAnsiTheme="majorBidi" w:cstheme="majorBidi"/>
          <w:sz w:val="18"/>
          <w:szCs w:val="18"/>
        </w:rPr>
        <w:t>w</w:t>
      </w:r>
      <w:r w:rsidRPr="00D96A14">
        <w:rPr>
          <w:rFonts w:asciiTheme="majorBidi" w:hAnsiTheme="majorBidi" w:cstheme="majorBidi"/>
          <w:sz w:val="18"/>
          <w:szCs w:val="18"/>
        </w:rPr>
        <w:t xml:space="preserve">ildlife </w:t>
      </w:r>
      <w:r w:rsidR="00D0482D">
        <w:rPr>
          <w:rFonts w:asciiTheme="majorBidi" w:hAnsiTheme="majorBidi" w:cstheme="majorBidi"/>
          <w:sz w:val="18"/>
          <w:szCs w:val="18"/>
        </w:rPr>
        <w:t>s</w:t>
      </w:r>
      <w:r w:rsidRPr="00D96A14">
        <w:rPr>
          <w:rFonts w:asciiTheme="majorBidi" w:hAnsiTheme="majorBidi" w:cstheme="majorBidi"/>
          <w:sz w:val="18"/>
          <w:szCs w:val="18"/>
        </w:rPr>
        <w:t xml:space="preserve">pecies </w:t>
      </w:r>
      <w:r w:rsidR="00D0482D">
        <w:rPr>
          <w:rFonts w:asciiTheme="majorBidi" w:hAnsiTheme="majorBidi" w:cstheme="majorBidi"/>
          <w:sz w:val="18"/>
          <w:szCs w:val="18"/>
        </w:rPr>
        <w:t>c</w:t>
      </w:r>
      <w:r w:rsidRPr="00D96A14">
        <w:rPr>
          <w:rFonts w:asciiTheme="majorBidi" w:hAnsiTheme="majorBidi" w:cstheme="majorBidi"/>
          <w:sz w:val="18"/>
          <w:szCs w:val="18"/>
        </w:rPr>
        <w:t>ount over time</w:t>
      </w:r>
    </w:p>
    <w:p w14:paraId="51A6D54F" w14:textId="77777777" w:rsidR="004F002C" w:rsidRDefault="004F002C" w:rsidP="00643B41">
      <w:pPr>
        <w:pStyle w:val="Paragraph"/>
        <w:jc w:val="center"/>
        <w:rPr>
          <w:rFonts w:asciiTheme="majorBidi" w:hAnsiTheme="majorBidi" w:cstheme="majorBidi"/>
        </w:rPr>
      </w:pPr>
    </w:p>
    <w:p w14:paraId="5C0AB0DD" w14:textId="6A977786" w:rsidR="00171A43" w:rsidRDefault="00171A43" w:rsidP="00643B41">
      <w:pPr>
        <w:pStyle w:val="Paragraph"/>
        <w:rPr>
          <w:rFonts w:asciiTheme="majorBidi" w:hAnsiTheme="majorBidi" w:cstheme="majorBidi"/>
        </w:rPr>
      </w:pPr>
      <w:r w:rsidRPr="00B676E5">
        <w:rPr>
          <w:rFonts w:asciiTheme="majorBidi" w:hAnsiTheme="majorBidi" w:cstheme="majorBidi"/>
        </w:rPr>
        <w:t>The assessment of various species groups presented within Table</w:t>
      </w:r>
      <w:r>
        <w:rPr>
          <w:rFonts w:asciiTheme="majorBidi" w:hAnsiTheme="majorBidi" w:cstheme="majorBidi"/>
        </w:rPr>
        <w:t xml:space="preserve"> 2</w:t>
      </w:r>
      <w:r w:rsidRPr="00B676E5">
        <w:rPr>
          <w:rFonts w:asciiTheme="majorBidi" w:hAnsiTheme="majorBidi" w:cstheme="majorBidi"/>
        </w:rPr>
        <w:t xml:space="preserve"> exhibits conservation status information for urbanizing environments. The assessment system puts species into specific risk categories starting from Critically Endangered to Endangered and moving through Vulnerable before achieving Least Concern status due to habitat destruction and pollution along with human disturbances. Freshwater fishes alongside reptiles demonstrate substantial negative impact by urbanization because their populations face 6% endangered and 15% vulnerable status while reptiles have 4% endangered and 12% vulnerable. Both mammals together with birds demonstrate notable statistics in the endangered and vulnerable categories because urban development is destroying their natural habitats.</w:t>
      </w:r>
    </w:p>
    <w:p w14:paraId="659E768F" w14:textId="77777777" w:rsidR="00321802" w:rsidRPr="00171A43" w:rsidRDefault="00321802" w:rsidP="00643B41">
      <w:pPr>
        <w:pStyle w:val="Paragraph"/>
        <w:rPr>
          <w:rFonts w:asciiTheme="majorBidi" w:hAnsiTheme="majorBidi" w:cstheme="majorBidi"/>
        </w:rPr>
      </w:pPr>
    </w:p>
    <w:tbl>
      <w:tblPr>
        <w:tblStyle w:val="TableGrid"/>
        <w:tblW w:w="7915" w:type="dxa"/>
        <w:jc w:val="center"/>
        <w:tblLook w:val="04A0" w:firstRow="1" w:lastRow="0" w:firstColumn="1" w:lastColumn="0" w:noHBand="0" w:noVBand="1"/>
      </w:tblPr>
      <w:tblGrid>
        <w:gridCol w:w="1705"/>
        <w:gridCol w:w="950"/>
        <w:gridCol w:w="1570"/>
        <w:gridCol w:w="1172"/>
        <w:gridCol w:w="1105"/>
        <w:gridCol w:w="1413"/>
      </w:tblGrid>
      <w:tr w:rsidR="00171A43" w:rsidRPr="00D96A14" w14:paraId="3955A427" w14:textId="77777777" w:rsidTr="00171A43">
        <w:trPr>
          <w:trHeight w:val="288"/>
          <w:jc w:val="center"/>
        </w:trPr>
        <w:tc>
          <w:tcPr>
            <w:tcW w:w="7915" w:type="dxa"/>
            <w:gridSpan w:val="6"/>
            <w:tcBorders>
              <w:top w:val="nil"/>
              <w:left w:val="nil"/>
              <w:bottom w:val="single" w:sz="4" w:space="0" w:color="auto"/>
              <w:right w:val="nil"/>
            </w:tcBorders>
            <w:noWrap/>
          </w:tcPr>
          <w:p w14:paraId="3CA8F898" w14:textId="3D5C1873" w:rsidR="00171A43" w:rsidRPr="001907FA" w:rsidRDefault="00171A43" w:rsidP="00643B41">
            <w:pPr>
              <w:spacing w:before="120"/>
              <w:jc w:val="center"/>
              <w:rPr>
                <w:color w:val="000000"/>
                <w:sz w:val="20"/>
              </w:rPr>
            </w:pPr>
            <w:r w:rsidRPr="00D96A14">
              <w:rPr>
                <w:rFonts w:asciiTheme="majorBidi" w:hAnsiTheme="majorBidi" w:cstheme="majorBidi"/>
                <w:b/>
                <w:bCs/>
                <w:sz w:val="18"/>
                <w:szCs w:val="18"/>
              </w:rPr>
              <w:t>TABLE 2.</w:t>
            </w:r>
            <w:r w:rsidRPr="00D96A14">
              <w:rPr>
                <w:rFonts w:asciiTheme="majorBidi" w:hAnsiTheme="majorBidi" w:cstheme="majorBidi"/>
                <w:sz w:val="18"/>
                <w:szCs w:val="18"/>
              </w:rPr>
              <w:t xml:space="preserve"> Biodiversity </w:t>
            </w:r>
            <w:r w:rsidR="00D0482D">
              <w:rPr>
                <w:rFonts w:asciiTheme="majorBidi" w:hAnsiTheme="majorBidi" w:cstheme="majorBidi"/>
                <w:sz w:val="18"/>
                <w:szCs w:val="18"/>
              </w:rPr>
              <w:t>l</w:t>
            </w:r>
            <w:r w:rsidRPr="00D96A14">
              <w:rPr>
                <w:rFonts w:asciiTheme="majorBidi" w:hAnsiTheme="majorBidi" w:cstheme="majorBidi"/>
                <w:sz w:val="18"/>
                <w:szCs w:val="18"/>
              </w:rPr>
              <w:t xml:space="preserve">oss in </w:t>
            </w:r>
            <w:r w:rsidR="00D0482D">
              <w:rPr>
                <w:rFonts w:asciiTheme="majorBidi" w:hAnsiTheme="majorBidi" w:cstheme="majorBidi"/>
                <w:sz w:val="18"/>
                <w:szCs w:val="18"/>
              </w:rPr>
              <w:t>u</w:t>
            </w:r>
            <w:r w:rsidRPr="00D96A14">
              <w:rPr>
                <w:rFonts w:asciiTheme="majorBidi" w:hAnsiTheme="majorBidi" w:cstheme="majorBidi"/>
                <w:sz w:val="18"/>
                <w:szCs w:val="18"/>
              </w:rPr>
              <w:t xml:space="preserve">rbanized </w:t>
            </w:r>
            <w:r w:rsidR="00D0482D">
              <w:rPr>
                <w:rFonts w:asciiTheme="majorBidi" w:hAnsiTheme="majorBidi" w:cstheme="majorBidi"/>
                <w:sz w:val="18"/>
                <w:szCs w:val="18"/>
              </w:rPr>
              <w:t>a</w:t>
            </w:r>
            <w:r w:rsidRPr="00D96A14">
              <w:rPr>
                <w:rFonts w:asciiTheme="majorBidi" w:hAnsiTheme="majorBidi" w:cstheme="majorBidi"/>
                <w:sz w:val="18"/>
                <w:szCs w:val="18"/>
              </w:rPr>
              <w:t>reas [2]</w:t>
            </w:r>
          </w:p>
        </w:tc>
      </w:tr>
      <w:tr w:rsidR="00171A43" w:rsidRPr="00171A43" w14:paraId="29DD3589" w14:textId="77777777" w:rsidTr="00171A43">
        <w:trPr>
          <w:trHeight w:val="288"/>
          <w:jc w:val="center"/>
        </w:trPr>
        <w:tc>
          <w:tcPr>
            <w:tcW w:w="1705" w:type="dxa"/>
            <w:tcBorders>
              <w:top w:val="single" w:sz="4" w:space="0" w:color="auto"/>
              <w:left w:val="nil"/>
              <w:bottom w:val="single" w:sz="4" w:space="0" w:color="auto"/>
              <w:right w:val="nil"/>
            </w:tcBorders>
            <w:noWrap/>
            <w:hideMark/>
          </w:tcPr>
          <w:p w14:paraId="212FE92D" w14:textId="77777777" w:rsidR="00171A43" w:rsidRPr="00171A43" w:rsidRDefault="00171A43" w:rsidP="00643B41">
            <w:pPr>
              <w:jc w:val="center"/>
              <w:rPr>
                <w:b/>
                <w:bCs/>
                <w:color w:val="000000"/>
                <w:sz w:val="18"/>
                <w:szCs w:val="18"/>
              </w:rPr>
            </w:pPr>
            <w:r w:rsidRPr="00171A43">
              <w:rPr>
                <w:b/>
                <w:bCs/>
                <w:color w:val="000000"/>
                <w:sz w:val="18"/>
                <w:szCs w:val="18"/>
              </w:rPr>
              <w:t>Species Group</w:t>
            </w:r>
          </w:p>
        </w:tc>
        <w:tc>
          <w:tcPr>
            <w:tcW w:w="950" w:type="dxa"/>
            <w:tcBorders>
              <w:top w:val="single" w:sz="4" w:space="0" w:color="auto"/>
              <w:left w:val="nil"/>
              <w:bottom w:val="single" w:sz="4" w:space="0" w:color="auto"/>
              <w:right w:val="nil"/>
            </w:tcBorders>
            <w:noWrap/>
            <w:hideMark/>
          </w:tcPr>
          <w:p w14:paraId="4611237C" w14:textId="77777777" w:rsidR="00171A43" w:rsidRPr="00171A43" w:rsidRDefault="00171A43" w:rsidP="00643B41">
            <w:pPr>
              <w:jc w:val="center"/>
              <w:rPr>
                <w:b/>
                <w:bCs/>
                <w:color w:val="000000"/>
                <w:sz w:val="18"/>
                <w:szCs w:val="18"/>
              </w:rPr>
            </w:pPr>
            <w:r w:rsidRPr="00171A43">
              <w:rPr>
                <w:b/>
                <w:bCs/>
                <w:color w:val="000000"/>
                <w:sz w:val="18"/>
                <w:szCs w:val="18"/>
              </w:rPr>
              <w:t>Total Assessed</w:t>
            </w:r>
          </w:p>
        </w:tc>
        <w:tc>
          <w:tcPr>
            <w:tcW w:w="1570" w:type="dxa"/>
            <w:tcBorders>
              <w:top w:val="single" w:sz="4" w:space="0" w:color="auto"/>
              <w:left w:val="nil"/>
              <w:bottom w:val="single" w:sz="4" w:space="0" w:color="auto"/>
              <w:right w:val="nil"/>
            </w:tcBorders>
            <w:noWrap/>
            <w:hideMark/>
          </w:tcPr>
          <w:p w14:paraId="1A8B3879" w14:textId="77777777" w:rsidR="00171A43" w:rsidRPr="00171A43" w:rsidRDefault="00171A43" w:rsidP="00643B41">
            <w:pPr>
              <w:jc w:val="center"/>
              <w:rPr>
                <w:b/>
                <w:bCs/>
                <w:color w:val="000000"/>
                <w:sz w:val="18"/>
                <w:szCs w:val="18"/>
              </w:rPr>
            </w:pPr>
            <w:r w:rsidRPr="00171A43">
              <w:rPr>
                <w:b/>
                <w:bCs/>
                <w:color w:val="000000"/>
                <w:sz w:val="18"/>
                <w:szCs w:val="18"/>
              </w:rPr>
              <w:t>Critically Endangered (%)</w:t>
            </w:r>
          </w:p>
        </w:tc>
        <w:tc>
          <w:tcPr>
            <w:tcW w:w="1172" w:type="dxa"/>
            <w:tcBorders>
              <w:top w:val="single" w:sz="4" w:space="0" w:color="auto"/>
              <w:left w:val="nil"/>
              <w:bottom w:val="single" w:sz="4" w:space="0" w:color="auto"/>
              <w:right w:val="nil"/>
            </w:tcBorders>
            <w:noWrap/>
            <w:hideMark/>
          </w:tcPr>
          <w:p w14:paraId="6A022710" w14:textId="77777777" w:rsidR="00171A43" w:rsidRPr="00171A43" w:rsidRDefault="00171A43" w:rsidP="00643B41">
            <w:pPr>
              <w:jc w:val="center"/>
              <w:rPr>
                <w:b/>
                <w:bCs/>
                <w:color w:val="000000"/>
                <w:sz w:val="18"/>
                <w:szCs w:val="18"/>
              </w:rPr>
            </w:pPr>
            <w:r w:rsidRPr="00171A43">
              <w:rPr>
                <w:b/>
                <w:bCs/>
                <w:color w:val="000000"/>
                <w:sz w:val="18"/>
                <w:szCs w:val="18"/>
              </w:rPr>
              <w:t>Endangered (%)</w:t>
            </w:r>
          </w:p>
        </w:tc>
        <w:tc>
          <w:tcPr>
            <w:tcW w:w="1105" w:type="dxa"/>
            <w:tcBorders>
              <w:top w:val="single" w:sz="4" w:space="0" w:color="auto"/>
              <w:left w:val="nil"/>
              <w:bottom w:val="single" w:sz="4" w:space="0" w:color="auto"/>
              <w:right w:val="nil"/>
            </w:tcBorders>
            <w:noWrap/>
            <w:hideMark/>
          </w:tcPr>
          <w:p w14:paraId="6FA177FC" w14:textId="77777777" w:rsidR="00171A43" w:rsidRPr="00171A43" w:rsidRDefault="00171A43" w:rsidP="00643B41">
            <w:pPr>
              <w:jc w:val="center"/>
              <w:rPr>
                <w:b/>
                <w:bCs/>
                <w:color w:val="000000"/>
                <w:sz w:val="18"/>
                <w:szCs w:val="18"/>
              </w:rPr>
            </w:pPr>
            <w:r w:rsidRPr="00171A43">
              <w:rPr>
                <w:b/>
                <w:bCs/>
                <w:color w:val="000000"/>
                <w:sz w:val="18"/>
                <w:szCs w:val="18"/>
              </w:rPr>
              <w:t>Vulnerable (%)</w:t>
            </w:r>
          </w:p>
        </w:tc>
        <w:tc>
          <w:tcPr>
            <w:tcW w:w="1413" w:type="dxa"/>
            <w:tcBorders>
              <w:top w:val="single" w:sz="4" w:space="0" w:color="auto"/>
              <w:left w:val="nil"/>
              <w:bottom w:val="single" w:sz="4" w:space="0" w:color="auto"/>
              <w:right w:val="nil"/>
            </w:tcBorders>
            <w:noWrap/>
            <w:hideMark/>
          </w:tcPr>
          <w:p w14:paraId="20850352" w14:textId="77777777" w:rsidR="00171A43" w:rsidRPr="00171A43" w:rsidRDefault="00171A43" w:rsidP="00643B41">
            <w:pPr>
              <w:jc w:val="center"/>
              <w:rPr>
                <w:b/>
                <w:bCs/>
                <w:color w:val="000000"/>
                <w:sz w:val="18"/>
                <w:szCs w:val="18"/>
              </w:rPr>
            </w:pPr>
            <w:r w:rsidRPr="00171A43">
              <w:rPr>
                <w:b/>
                <w:bCs/>
                <w:color w:val="000000"/>
                <w:sz w:val="18"/>
                <w:szCs w:val="18"/>
              </w:rPr>
              <w:t>Least Concern (%)</w:t>
            </w:r>
          </w:p>
        </w:tc>
      </w:tr>
      <w:tr w:rsidR="00171A43" w:rsidRPr="00D96A14" w14:paraId="25CA26BC" w14:textId="77777777" w:rsidTr="00171A43">
        <w:trPr>
          <w:trHeight w:val="288"/>
          <w:jc w:val="center"/>
        </w:trPr>
        <w:tc>
          <w:tcPr>
            <w:tcW w:w="1705" w:type="dxa"/>
            <w:tcBorders>
              <w:top w:val="single" w:sz="4" w:space="0" w:color="auto"/>
              <w:left w:val="nil"/>
              <w:bottom w:val="nil"/>
              <w:right w:val="nil"/>
            </w:tcBorders>
            <w:noWrap/>
            <w:hideMark/>
          </w:tcPr>
          <w:p w14:paraId="265B8CF5" w14:textId="77777777" w:rsidR="00171A43" w:rsidRPr="001907FA" w:rsidRDefault="00171A43" w:rsidP="00643B41">
            <w:pPr>
              <w:rPr>
                <w:color w:val="000000"/>
                <w:sz w:val="20"/>
              </w:rPr>
            </w:pPr>
            <w:r w:rsidRPr="001907FA">
              <w:rPr>
                <w:color w:val="000000"/>
                <w:sz w:val="20"/>
              </w:rPr>
              <w:t>Mammals</w:t>
            </w:r>
          </w:p>
        </w:tc>
        <w:tc>
          <w:tcPr>
            <w:tcW w:w="950" w:type="dxa"/>
            <w:tcBorders>
              <w:top w:val="single" w:sz="4" w:space="0" w:color="auto"/>
              <w:left w:val="nil"/>
              <w:bottom w:val="nil"/>
              <w:right w:val="nil"/>
            </w:tcBorders>
            <w:noWrap/>
            <w:hideMark/>
          </w:tcPr>
          <w:p w14:paraId="213B51B9" w14:textId="77777777" w:rsidR="00171A43" w:rsidRPr="001907FA" w:rsidRDefault="00171A43" w:rsidP="00643B41">
            <w:pPr>
              <w:jc w:val="right"/>
              <w:rPr>
                <w:color w:val="000000"/>
                <w:sz w:val="20"/>
              </w:rPr>
            </w:pPr>
            <w:r w:rsidRPr="001907FA">
              <w:rPr>
                <w:color w:val="000000"/>
                <w:sz w:val="20"/>
              </w:rPr>
              <w:t>138</w:t>
            </w:r>
          </w:p>
        </w:tc>
        <w:tc>
          <w:tcPr>
            <w:tcW w:w="1570" w:type="dxa"/>
            <w:tcBorders>
              <w:top w:val="single" w:sz="4" w:space="0" w:color="auto"/>
              <w:left w:val="nil"/>
              <w:bottom w:val="nil"/>
              <w:right w:val="nil"/>
            </w:tcBorders>
            <w:noWrap/>
            <w:hideMark/>
          </w:tcPr>
          <w:p w14:paraId="7BBADAF4" w14:textId="77777777" w:rsidR="00171A43" w:rsidRPr="001907FA" w:rsidRDefault="00171A43" w:rsidP="00643B41">
            <w:pPr>
              <w:jc w:val="right"/>
              <w:rPr>
                <w:color w:val="000000"/>
                <w:sz w:val="20"/>
              </w:rPr>
            </w:pPr>
            <w:r w:rsidRPr="001907FA">
              <w:rPr>
                <w:color w:val="000000"/>
                <w:sz w:val="20"/>
              </w:rPr>
              <w:t>1</w:t>
            </w:r>
          </w:p>
        </w:tc>
        <w:tc>
          <w:tcPr>
            <w:tcW w:w="1172" w:type="dxa"/>
            <w:tcBorders>
              <w:top w:val="single" w:sz="4" w:space="0" w:color="auto"/>
              <w:left w:val="nil"/>
              <w:bottom w:val="nil"/>
              <w:right w:val="nil"/>
            </w:tcBorders>
            <w:noWrap/>
            <w:hideMark/>
          </w:tcPr>
          <w:p w14:paraId="4A6EBE0C" w14:textId="77777777" w:rsidR="00171A43" w:rsidRPr="001907FA" w:rsidRDefault="00171A43" w:rsidP="00643B41">
            <w:pPr>
              <w:jc w:val="right"/>
              <w:rPr>
                <w:color w:val="000000"/>
                <w:sz w:val="20"/>
              </w:rPr>
            </w:pPr>
            <w:r w:rsidRPr="001907FA">
              <w:rPr>
                <w:color w:val="000000"/>
                <w:sz w:val="20"/>
              </w:rPr>
              <w:t>5</w:t>
            </w:r>
          </w:p>
        </w:tc>
        <w:tc>
          <w:tcPr>
            <w:tcW w:w="1105" w:type="dxa"/>
            <w:tcBorders>
              <w:top w:val="single" w:sz="4" w:space="0" w:color="auto"/>
              <w:left w:val="nil"/>
              <w:bottom w:val="nil"/>
              <w:right w:val="nil"/>
            </w:tcBorders>
            <w:noWrap/>
            <w:hideMark/>
          </w:tcPr>
          <w:p w14:paraId="157DB27F" w14:textId="77777777" w:rsidR="00171A43" w:rsidRPr="001907FA" w:rsidRDefault="00171A43" w:rsidP="00643B41">
            <w:pPr>
              <w:jc w:val="right"/>
              <w:rPr>
                <w:color w:val="000000"/>
                <w:sz w:val="20"/>
              </w:rPr>
            </w:pPr>
            <w:r w:rsidRPr="001907FA">
              <w:rPr>
                <w:color w:val="000000"/>
                <w:sz w:val="20"/>
              </w:rPr>
              <w:t>10</w:t>
            </w:r>
          </w:p>
        </w:tc>
        <w:tc>
          <w:tcPr>
            <w:tcW w:w="1413" w:type="dxa"/>
            <w:tcBorders>
              <w:top w:val="single" w:sz="4" w:space="0" w:color="auto"/>
              <w:left w:val="nil"/>
              <w:bottom w:val="nil"/>
              <w:right w:val="nil"/>
            </w:tcBorders>
            <w:noWrap/>
            <w:hideMark/>
          </w:tcPr>
          <w:p w14:paraId="12356757" w14:textId="77777777" w:rsidR="00171A43" w:rsidRPr="001907FA" w:rsidRDefault="00171A43" w:rsidP="00643B41">
            <w:pPr>
              <w:jc w:val="right"/>
              <w:rPr>
                <w:color w:val="000000"/>
                <w:sz w:val="20"/>
              </w:rPr>
            </w:pPr>
            <w:r w:rsidRPr="001907FA">
              <w:rPr>
                <w:color w:val="000000"/>
                <w:sz w:val="20"/>
              </w:rPr>
              <w:t>84</w:t>
            </w:r>
          </w:p>
        </w:tc>
      </w:tr>
      <w:tr w:rsidR="00171A43" w:rsidRPr="00D96A14" w14:paraId="7649C982" w14:textId="77777777" w:rsidTr="00171A43">
        <w:trPr>
          <w:trHeight w:val="288"/>
          <w:jc w:val="center"/>
        </w:trPr>
        <w:tc>
          <w:tcPr>
            <w:tcW w:w="1705" w:type="dxa"/>
            <w:tcBorders>
              <w:top w:val="nil"/>
              <w:left w:val="nil"/>
              <w:bottom w:val="nil"/>
              <w:right w:val="nil"/>
            </w:tcBorders>
            <w:noWrap/>
            <w:hideMark/>
          </w:tcPr>
          <w:p w14:paraId="573CC1A1" w14:textId="77777777" w:rsidR="00171A43" w:rsidRPr="001907FA" w:rsidRDefault="00171A43" w:rsidP="00643B41">
            <w:pPr>
              <w:rPr>
                <w:color w:val="000000"/>
                <w:sz w:val="20"/>
              </w:rPr>
            </w:pPr>
            <w:r w:rsidRPr="001907FA">
              <w:rPr>
                <w:color w:val="000000"/>
                <w:sz w:val="20"/>
              </w:rPr>
              <w:t>Birds</w:t>
            </w:r>
          </w:p>
        </w:tc>
        <w:tc>
          <w:tcPr>
            <w:tcW w:w="950" w:type="dxa"/>
            <w:tcBorders>
              <w:top w:val="nil"/>
              <w:left w:val="nil"/>
              <w:bottom w:val="nil"/>
              <w:right w:val="nil"/>
            </w:tcBorders>
            <w:noWrap/>
            <w:hideMark/>
          </w:tcPr>
          <w:p w14:paraId="50DD1454" w14:textId="77777777" w:rsidR="00171A43" w:rsidRPr="001907FA" w:rsidRDefault="00171A43" w:rsidP="00643B41">
            <w:pPr>
              <w:jc w:val="right"/>
              <w:rPr>
                <w:color w:val="000000"/>
                <w:sz w:val="20"/>
              </w:rPr>
            </w:pPr>
            <w:r w:rsidRPr="001907FA">
              <w:rPr>
                <w:color w:val="000000"/>
                <w:sz w:val="20"/>
              </w:rPr>
              <w:t>566</w:t>
            </w:r>
          </w:p>
        </w:tc>
        <w:tc>
          <w:tcPr>
            <w:tcW w:w="1570" w:type="dxa"/>
            <w:tcBorders>
              <w:top w:val="nil"/>
              <w:left w:val="nil"/>
              <w:bottom w:val="nil"/>
              <w:right w:val="nil"/>
            </w:tcBorders>
            <w:noWrap/>
            <w:hideMark/>
          </w:tcPr>
          <w:p w14:paraId="4C61C85C" w14:textId="77777777" w:rsidR="00171A43" w:rsidRPr="001907FA" w:rsidRDefault="00171A43" w:rsidP="00643B41">
            <w:pPr>
              <w:jc w:val="right"/>
              <w:rPr>
                <w:color w:val="000000"/>
                <w:sz w:val="20"/>
              </w:rPr>
            </w:pPr>
            <w:r w:rsidRPr="001907FA">
              <w:rPr>
                <w:color w:val="000000"/>
                <w:sz w:val="20"/>
              </w:rPr>
              <w:t>0.6</w:t>
            </w:r>
          </w:p>
        </w:tc>
        <w:tc>
          <w:tcPr>
            <w:tcW w:w="1172" w:type="dxa"/>
            <w:tcBorders>
              <w:top w:val="nil"/>
              <w:left w:val="nil"/>
              <w:bottom w:val="nil"/>
              <w:right w:val="nil"/>
            </w:tcBorders>
            <w:noWrap/>
            <w:hideMark/>
          </w:tcPr>
          <w:p w14:paraId="5E505633" w14:textId="77777777" w:rsidR="00171A43" w:rsidRPr="001907FA" w:rsidRDefault="00171A43" w:rsidP="00643B41">
            <w:pPr>
              <w:jc w:val="right"/>
              <w:rPr>
                <w:color w:val="000000"/>
                <w:sz w:val="20"/>
              </w:rPr>
            </w:pPr>
            <w:r w:rsidRPr="001907FA">
              <w:rPr>
                <w:color w:val="000000"/>
                <w:sz w:val="20"/>
              </w:rPr>
              <w:t>3</w:t>
            </w:r>
          </w:p>
        </w:tc>
        <w:tc>
          <w:tcPr>
            <w:tcW w:w="1105" w:type="dxa"/>
            <w:tcBorders>
              <w:top w:val="nil"/>
              <w:left w:val="nil"/>
              <w:bottom w:val="nil"/>
              <w:right w:val="nil"/>
            </w:tcBorders>
            <w:noWrap/>
            <w:hideMark/>
          </w:tcPr>
          <w:p w14:paraId="4B07C821" w14:textId="77777777" w:rsidR="00171A43" w:rsidRPr="001907FA" w:rsidRDefault="00171A43" w:rsidP="00643B41">
            <w:pPr>
              <w:jc w:val="right"/>
              <w:rPr>
                <w:color w:val="000000"/>
                <w:sz w:val="20"/>
              </w:rPr>
            </w:pPr>
            <w:r w:rsidRPr="001907FA">
              <w:rPr>
                <w:color w:val="000000"/>
                <w:sz w:val="20"/>
              </w:rPr>
              <w:t>8</w:t>
            </w:r>
          </w:p>
        </w:tc>
        <w:tc>
          <w:tcPr>
            <w:tcW w:w="1413" w:type="dxa"/>
            <w:tcBorders>
              <w:top w:val="nil"/>
              <w:left w:val="nil"/>
              <w:bottom w:val="nil"/>
              <w:right w:val="nil"/>
            </w:tcBorders>
            <w:noWrap/>
            <w:hideMark/>
          </w:tcPr>
          <w:p w14:paraId="04957F85" w14:textId="77777777" w:rsidR="00171A43" w:rsidRPr="001907FA" w:rsidRDefault="00171A43" w:rsidP="00643B41">
            <w:pPr>
              <w:jc w:val="right"/>
              <w:rPr>
                <w:color w:val="000000"/>
                <w:sz w:val="20"/>
              </w:rPr>
            </w:pPr>
            <w:r w:rsidRPr="001907FA">
              <w:rPr>
                <w:color w:val="000000"/>
                <w:sz w:val="20"/>
              </w:rPr>
              <w:t>88.4</w:t>
            </w:r>
          </w:p>
        </w:tc>
      </w:tr>
      <w:tr w:rsidR="00171A43" w:rsidRPr="00D96A14" w14:paraId="7B7F87DC" w14:textId="77777777" w:rsidTr="00171A43">
        <w:trPr>
          <w:trHeight w:val="288"/>
          <w:jc w:val="center"/>
        </w:trPr>
        <w:tc>
          <w:tcPr>
            <w:tcW w:w="1705" w:type="dxa"/>
            <w:tcBorders>
              <w:top w:val="nil"/>
              <w:left w:val="nil"/>
              <w:bottom w:val="nil"/>
              <w:right w:val="nil"/>
            </w:tcBorders>
            <w:noWrap/>
            <w:hideMark/>
          </w:tcPr>
          <w:p w14:paraId="07C48946" w14:textId="77777777" w:rsidR="00171A43" w:rsidRPr="001907FA" w:rsidRDefault="00171A43" w:rsidP="00643B41">
            <w:pPr>
              <w:rPr>
                <w:color w:val="000000"/>
                <w:sz w:val="20"/>
              </w:rPr>
            </w:pPr>
            <w:r w:rsidRPr="001907FA">
              <w:rPr>
                <w:color w:val="000000"/>
                <w:sz w:val="20"/>
              </w:rPr>
              <w:t>Reptiles</w:t>
            </w:r>
          </w:p>
        </w:tc>
        <w:tc>
          <w:tcPr>
            <w:tcW w:w="950" w:type="dxa"/>
            <w:tcBorders>
              <w:top w:val="nil"/>
              <w:left w:val="nil"/>
              <w:bottom w:val="nil"/>
              <w:right w:val="nil"/>
            </w:tcBorders>
            <w:noWrap/>
            <w:hideMark/>
          </w:tcPr>
          <w:p w14:paraId="19D2FE73" w14:textId="77777777" w:rsidR="00171A43" w:rsidRPr="001907FA" w:rsidRDefault="00171A43" w:rsidP="00643B41">
            <w:pPr>
              <w:jc w:val="right"/>
              <w:rPr>
                <w:color w:val="000000"/>
                <w:sz w:val="20"/>
              </w:rPr>
            </w:pPr>
            <w:r w:rsidRPr="001907FA">
              <w:rPr>
                <w:color w:val="000000"/>
                <w:sz w:val="20"/>
              </w:rPr>
              <w:t>167</w:t>
            </w:r>
          </w:p>
        </w:tc>
        <w:tc>
          <w:tcPr>
            <w:tcW w:w="1570" w:type="dxa"/>
            <w:tcBorders>
              <w:top w:val="nil"/>
              <w:left w:val="nil"/>
              <w:bottom w:val="nil"/>
              <w:right w:val="nil"/>
            </w:tcBorders>
            <w:noWrap/>
            <w:hideMark/>
          </w:tcPr>
          <w:p w14:paraId="4E784836" w14:textId="77777777" w:rsidR="00171A43" w:rsidRPr="001907FA" w:rsidRDefault="00171A43" w:rsidP="00643B41">
            <w:pPr>
              <w:jc w:val="right"/>
              <w:rPr>
                <w:color w:val="000000"/>
                <w:sz w:val="20"/>
              </w:rPr>
            </w:pPr>
            <w:r w:rsidRPr="001907FA">
              <w:rPr>
                <w:color w:val="000000"/>
                <w:sz w:val="20"/>
              </w:rPr>
              <w:t>1</w:t>
            </w:r>
          </w:p>
        </w:tc>
        <w:tc>
          <w:tcPr>
            <w:tcW w:w="1172" w:type="dxa"/>
            <w:tcBorders>
              <w:top w:val="nil"/>
              <w:left w:val="nil"/>
              <w:bottom w:val="nil"/>
              <w:right w:val="nil"/>
            </w:tcBorders>
            <w:noWrap/>
            <w:hideMark/>
          </w:tcPr>
          <w:p w14:paraId="77770F90" w14:textId="77777777" w:rsidR="00171A43" w:rsidRPr="001907FA" w:rsidRDefault="00171A43" w:rsidP="00643B41">
            <w:pPr>
              <w:jc w:val="right"/>
              <w:rPr>
                <w:color w:val="000000"/>
                <w:sz w:val="20"/>
              </w:rPr>
            </w:pPr>
            <w:r w:rsidRPr="001907FA">
              <w:rPr>
                <w:color w:val="000000"/>
                <w:sz w:val="20"/>
              </w:rPr>
              <w:t>4</w:t>
            </w:r>
          </w:p>
        </w:tc>
        <w:tc>
          <w:tcPr>
            <w:tcW w:w="1105" w:type="dxa"/>
            <w:tcBorders>
              <w:top w:val="nil"/>
              <w:left w:val="nil"/>
              <w:bottom w:val="nil"/>
              <w:right w:val="nil"/>
            </w:tcBorders>
            <w:noWrap/>
            <w:hideMark/>
          </w:tcPr>
          <w:p w14:paraId="2D9D0040" w14:textId="77777777" w:rsidR="00171A43" w:rsidRPr="001907FA" w:rsidRDefault="00171A43" w:rsidP="00643B41">
            <w:pPr>
              <w:jc w:val="right"/>
              <w:rPr>
                <w:color w:val="000000"/>
                <w:sz w:val="20"/>
              </w:rPr>
            </w:pPr>
            <w:r w:rsidRPr="001907FA">
              <w:rPr>
                <w:color w:val="000000"/>
                <w:sz w:val="20"/>
              </w:rPr>
              <w:t>12</w:t>
            </w:r>
          </w:p>
        </w:tc>
        <w:tc>
          <w:tcPr>
            <w:tcW w:w="1413" w:type="dxa"/>
            <w:tcBorders>
              <w:top w:val="nil"/>
              <w:left w:val="nil"/>
              <w:bottom w:val="nil"/>
              <w:right w:val="nil"/>
            </w:tcBorders>
            <w:noWrap/>
            <w:hideMark/>
          </w:tcPr>
          <w:p w14:paraId="7B1F5151" w14:textId="77777777" w:rsidR="00171A43" w:rsidRPr="001907FA" w:rsidRDefault="00171A43" w:rsidP="00643B41">
            <w:pPr>
              <w:jc w:val="right"/>
              <w:rPr>
                <w:color w:val="000000"/>
                <w:sz w:val="20"/>
              </w:rPr>
            </w:pPr>
            <w:r w:rsidRPr="001907FA">
              <w:rPr>
                <w:color w:val="000000"/>
                <w:sz w:val="20"/>
              </w:rPr>
              <w:t>83</w:t>
            </w:r>
          </w:p>
        </w:tc>
      </w:tr>
      <w:tr w:rsidR="00171A43" w:rsidRPr="00D96A14" w14:paraId="62EE74D3" w14:textId="77777777" w:rsidTr="00171A43">
        <w:trPr>
          <w:trHeight w:val="288"/>
          <w:jc w:val="center"/>
        </w:trPr>
        <w:tc>
          <w:tcPr>
            <w:tcW w:w="1705" w:type="dxa"/>
            <w:tcBorders>
              <w:top w:val="nil"/>
              <w:left w:val="nil"/>
              <w:bottom w:val="nil"/>
              <w:right w:val="nil"/>
            </w:tcBorders>
            <w:noWrap/>
            <w:hideMark/>
          </w:tcPr>
          <w:p w14:paraId="668BF170" w14:textId="77777777" w:rsidR="00171A43" w:rsidRPr="001907FA" w:rsidRDefault="00171A43" w:rsidP="00643B41">
            <w:pPr>
              <w:rPr>
                <w:color w:val="000000"/>
                <w:sz w:val="20"/>
              </w:rPr>
            </w:pPr>
            <w:r w:rsidRPr="001907FA">
              <w:rPr>
                <w:color w:val="000000"/>
                <w:sz w:val="20"/>
              </w:rPr>
              <w:t>Amphibians</w:t>
            </w:r>
          </w:p>
        </w:tc>
        <w:tc>
          <w:tcPr>
            <w:tcW w:w="950" w:type="dxa"/>
            <w:tcBorders>
              <w:top w:val="nil"/>
              <w:left w:val="nil"/>
              <w:bottom w:val="nil"/>
              <w:right w:val="nil"/>
            </w:tcBorders>
            <w:noWrap/>
            <w:hideMark/>
          </w:tcPr>
          <w:p w14:paraId="21BA52E5" w14:textId="77777777" w:rsidR="00171A43" w:rsidRPr="001907FA" w:rsidRDefault="00171A43" w:rsidP="00643B41">
            <w:pPr>
              <w:jc w:val="right"/>
              <w:rPr>
                <w:color w:val="000000"/>
                <w:sz w:val="20"/>
              </w:rPr>
            </w:pPr>
            <w:r w:rsidRPr="001907FA">
              <w:rPr>
                <w:color w:val="000000"/>
                <w:sz w:val="20"/>
              </w:rPr>
              <w:t>49</w:t>
            </w:r>
          </w:p>
        </w:tc>
        <w:tc>
          <w:tcPr>
            <w:tcW w:w="1570" w:type="dxa"/>
            <w:tcBorders>
              <w:top w:val="nil"/>
              <w:left w:val="nil"/>
              <w:bottom w:val="nil"/>
              <w:right w:val="nil"/>
            </w:tcBorders>
            <w:noWrap/>
            <w:hideMark/>
          </w:tcPr>
          <w:p w14:paraId="040AE2AD" w14:textId="77777777" w:rsidR="00171A43" w:rsidRPr="001907FA" w:rsidRDefault="00171A43" w:rsidP="00643B41">
            <w:pPr>
              <w:jc w:val="right"/>
              <w:rPr>
                <w:color w:val="000000"/>
                <w:sz w:val="20"/>
              </w:rPr>
            </w:pPr>
            <w:r w:rsidRPr="001907FA">
              <w:rPr>
                <w:color w:val="000000"/>
                <w:sz w:val="20"/>
              </w:rPr>
              <w:t>0</w:t>
            </w:r>
          </w:p>
        </w:tc>
        <w:tc>
          <w:tcPr>
            <w:tcW w:w="1172" w:type="dxa"/>
            <w:tcBorders>
              <w:top w:val="nil"/>
              <w:left w:val="nil"/>
              <w:bottom w:val="nil"/>
              <w:right w:val="nil"/>
            </w:tcBorders>
            <w:noWrap/>
            <w:hideMark/>
          </w:tcPr>
          <w:p w14:paraId="30A6C544" w14:textId="77777777" w:rsidR="00171A43" w:rsidRPr="001907FA" w:rsidRDefault="00171A43" w:rsidP="00643B41">
            <w:pPr>
              <w:jc w:val="right"/>
              <w:rPr>
                <w:color w:val="000000"/>
                <w:sz w:val="20"/>
              </w:rPr>
            </w:pPr>
            <w:r w:rsidRPr="001907FA">
              <w:rPr>
                <w:color w:val="000000"/>
                <w:sz w:val="20"/>
              </w:rPr>
              <w:t>2</w:t>
            </w:r>
          </w:p>
        </w:tc>
        <w:tc>
          <w:tcPr>
            <w:tcW w:w="1105" w:type="dxa"/>
            <w:tcBorders>
              <w:top w:val="nil"/>
              <w:left w:val="nil"/>
              <w:bottom w:val="nil"/>
              <w:right w:val="nil"/>
            </w:tcBorders>
            <w:noWrap/>
            <w:hideMark/>
          </w:tcPr>
          <w:p w14:paraId="08EA80F2" w14:textId="77777777" w:rsidR="00171A43" w:rsidRPr="001907FA" w:rsidRDefault="00171A43" w:rsidP="00643B41">
            <w:pPr>
              <w:jc w:val="right"/>
              <w:rPr>
                <w:color w:val="000000"/>
                <w:sz w:val="20"/>
              </w:rPr>
            </w:pPr>
            <w:r w:rsidRPr="001907FA">
              <w:rPr>
                <w:color w:val="000000"/>
                <w:sz w:val="20"/>
              </w:rPr>
              <w:t>5</w:t>
            </w:r>
          </w:p>
        </w:tc>
        <w:tc>
          <w:tcPr>
            <w:tcW w:w="1413" w:type="dxa"/>
            <w:tcBorders>
              <w:top w:val="nil"/>
              <w:left w:val="nil"/>
              <w:bottom w:val="nil"/>
              <w:right w:val="nil"/>
            </w:tcBorders>
            <w:noWrap/>
            <w:hideMark/>
          </w:tcPr>
          <w:p w14:paraId="27618315" w14:textId="77777777" w:rsidR="00171A43" w:rsidRPr="001907FA" w:rsidRDefault="00171A43" w:rsidP="00643B41">
            <w:pPr>
              <w:jc w:val="right"/>
              <w:rPr>
                <w:color w:val="000000"/>
                <w:sz w:val="20"/>
              </w:rPr>
            </w:pPr>
            <w:r w:rsidRPr="001907FA">
              <w:rPr>
                <w:color w:val="000000"/>
                <w:sz w:val="20"/>
              </w:rPr>
              <w:t>93</w:t>
            </w:r>
          </w:p>
        </w:tc>
      </w:tr>
      <w:tr w:rsidR="00171A43" w:rsidRPr="00D96A14" w14:paraId="657342C6" w14:textId="77777777" w:rsidTr="00171A43">
        <w:trPr>
          <w:trHeight w:val="288"/>
          <w:jc w:val="center"/>
        </w:trPr>
        <w:tc>
          <w:tcPr>
            <w:tcW w:w="1705" w:type="dxa"/>
            <w:tcBorders>
              <w:top w:val="nil"/>
              <w:left w:val="nil"/>
              <w:bottom w:val="nil"/>
              <w:right w:val="nil"/>
            </w:tcBorders>
            <w:noWrap/>
            <w:hideMark/>
          </w:tcPr>
          <w:p w14:paraId="7104A555" w14:textId="77777777" w:rsidR="00171A43" w:rsidRPr="001907FA" w:rsidRDefault="00171A43" w:rsidP="00643B41">
            <w:pPr>
              <w:rPr>
                <w:color w:val="000000"/>
                <w:sz w:val="20"/>
              </w:rPr>
            </w:pPr>
            <w:r w:rsidRPr="001907FA">
              <w:rPr>
                <w:color w:val="000000"/>
                <w:sz w:val="20"/>
              </w:rPr>
              <w:t>Freshwater Fishes</w:t>
            </w:r>
          </w:p>
        </w:tc>
        <w:tc>
          <w:tcPr>
            <w:tcW w:w="950" w:type="dxa"/>
            <w:tcBorders>
              <w:top w:val="nil"/>
              <w:left w:val="nil"/>
              <w:bottom w:val="nil"/>
              <w:right w:val="nil"/>
            </w:tcBorders>
            <w:noWrap/>
            <w:hideMark/>
          </w:tcPr>
          <w:p w14:paraId="5A47902F" w14:textId="77777777" w:rsidR="00171A43" w:rsidRPr="001907FA" w:rsidRDefault="00171A43" w:rsidP="00643B41">
            <w:pPr>
              <w:jc w:val="right"/>
              <w:rPr>
                <w:color w:val="000000"/>
                <w:sz w:val="20"/>
              </w:rPr>
            </w:pPr>
            <w:r w:rsidRPr="001907FA">
              <w:rPr>
                <w:color w:val="000000"/>
                <w:sz w:val="20"/>
              </w:rPr>
              <w:t>253</w:t>
            </w:r>
          </w:p>
        </w:tc>
        <w:tc>
          <w:tcPr>
            <w:tcW w:w="1570" w:type="dxa"/>
            <w:tcBorders>
              <w:top w:val="nil"/>
              <w:left w:val="nil"/>
              <w:bottom w:val="nil"/>
              <w:right w:val="nil"/>
            </w:tcBorders>
            <w:noWrap/>
            <w:hideMark/>
          </w:tcPr>
          <w:p w14:paraId="067340E8" w14:textId="77777777" w:rsidR="00171A43" w:rsidRPr="001907FA" w:rsidRDefault="00171A43" w:rsidP="00643B41">
            <w:pPr>
              <w:jc w:val="right"/>
              <w:rPr>
                <w:color w:val="000000"/>
                <w:sz w:val="20"/>
              </w:rPr>
            </w:pPr>
            <w:r w:rsidRPr="001907FA">
              <w:rPr>
                <w:color w:val="000000"/>
                <w:sz w:val="20"/>
              </w:rPr>
              <w:t>0.56</w:t>
            </w:r>
          </w:p>
        </w:tc>
        <w:tc>
          <w:tcPr>
            <w:tcW w:w="1172" w:type="dxa"/>
            <w:tcBorders>
              <w:top w:val="nil"/>
              <w:left w:val="nil"/>
              <w:bottom w:val="nil"/>
              <w:right w:val="nil"/>
            </w:tcBorders>
            <w:noWrap/>
            <w:hideMark/>
          </w:tcPr>
          <w:p w14:paraId="0E8DB1FE" w14:textId="77777777" w:rsidR="00171A43" w:rsidRPr="001907FA" w:rsidRDefault="00171A43" w:rsidP="00643B41">
            <w:pPr>
              <w:jc w:val="right"/>
              <w:rPr>
                <w:color w:val="000000"/>
                <w:sz w:val="20"/>
              </w:rPr>
            </w:pPr>
            <w:r w:rsidRPr="001907FA">
              <w:rPr>
                <w:color w:val="000000"/>
                <w:sz w:val="20"/>
              </w:rPr>
              <w:t>6</w:t>
            </w:r>
          </w:p>
        </w:tc>
        <w:tc>
          <w:tcPr>
            <w:tcW w:w="1105" w:type="dxa"/>
            <w:tcBorders>
              <w:top w:val="nil"/>
              <w:left w:val="nil"/>
              <w:bottom w:val="nil"/>
              <w:right w:val="nil"/>
            </w:tcBorders>
            <w:noWrap/>
            <w:hideMark/>
          </w:tcPr>
          <w:p w14:paraId="6CF2091B" w14:textId="77777777" w:rsidR="00171A43" w:rsidRPr="001907FA" w:rsidRDefault="00171A43" w:rsidP="00643B41">
            <w:pPr>
              <w:jc w:val="right"/>
              <w:rPr>
                <w:color w:val="000000"/>
                <w:sz w:val="20"/>
              </w:rPr>
            </w:pPr>
            <w:r w:rsidRPr="001907FA">
              <w:rPr>
                <w:color w:val="000000"/>
                <w:sz w:val="20"/>
              </w:rPr>
              <w:t>15</w:t>
            </w:r>
          </w:p>
        </w:tc>
        <w:tc>
          <w:tcPr>
            <w:tcW w:w="1413" w:type="dxa"/>
            <w:tcBorders>
              <w:top w:val="nil"/>
              <w:left w:val="nil"/>
              <w:bottom w:val="nil"/>
              <w:right w:val="nil"/>
            </w:tcBorders>
            <w:noWrap/>
            <w:hideMark/>
          </w:tcPr>
          <w:p w14:paraId="1C54349E" w14:textId="77777777" w:rsidR="00171A43" w:rsidRPr="001907FA" w:rsidRDefault="00171A43" w:rsidP="00643B41">
            <w:pPr>
              <w:jc w:val="right"/>
              <w:rPr>
                <w:color w:val="000000"/>
                <w:sz w:val="20"/>
              </w:rPr>
            </w:pPr>
            <w:r w:rsidRPr="001907FA">
              <w:rPr>
                <w:color w:val="000000"/>
                <w:sz w:val="20"/>
              </w:rPr>
              <w:t>78.44</w:t>
            </w:r>
          </w:p>
        </w:tc>
      </w:tr>
      <w:tr w:rsidR="00171A43" w:rsidRPr="00D96A14" w14:paraId="58EF09EF" w14:textId="77777777" w:rsidTr="00171A43">
        <w:trPr>
          <w:trHeight w:val="288"/>
          <w:jc w:val="center"/>
        </w:trPr>
        <w:tc>
          <w:tcPr>
            <w:tcW w:w="1705" w:type="dxa"/>
            <w:tcBorders>
              <w:top w:val="nil"/>
              <w:left w:val="nil"/>
              <w:bottom w:val="nil"/>
              <w:right w:val="nil"/>
            </w:tcBorders>
            <w:noWrap/>
            <w:hideMark/>
          </w:tcPr>
          <w:p w14:paraId="11D59AAC" w14:textId="77777777" w:rsidR="00171A43" w:rsidRPr="001907FA" w:rsidRDefault="00171A43" w:rsidP="00643B41">
            <w:pPr>
              <w:rPr>
                <w:color w:val="000000"/>
                <w:sz w:val="20"/>
              </w:rPr>
            </w:pPr>
            <w:r w:rsidRPr="001907FA">
              <w:rPr>
                <w:color w:val="000000"/>
                <w:sz w:val="20"/>
              </w:rPr>
              <w:t>Butterflies</w:t>
            </w:r>
          </w:p>
        </w:tc>
        <w:tc>
          <w:tcPr>
            <w:tcW w:w="950" w:type="dxa"/>
            <w:tcBorders>
              <w:top w:val="nil"/>
              <w:left w:val="nil"/>
              <w:bottom w:val="nil"/>
              <w:right w:val="nil"/>
            </w:tcBorders>
            <w:noWrap/>
            <w:hideMark/>
          </w:tcPr>
          <w:p w14:paraId="4A9B6BCF" w14:textId="77777777" w:rsidR="00171A43" w:rsidRPr="001907FA" w:rsidRDefault="00171A43" w:rsidP="00643B41">
            <w:pPr>
              <w:jc w:val="right"/>
              <w:rPr>
                <w:color w:val="000000"/>
                <w:sz w:val="20"/>
              </w:rPr>
            </w:pPr>
            <w:r w:rsidRPr="001907FA">
              <w:rPr>
                <w:color w:val="000000"/>
                <w:sz w:val="20"/>
              </w:rPr>
              <w:t>305</w:t>
            </w:r>
          </w:p>
        </w:tc>
        <w:tc>
          <w:tcPr>
            <w:tcW w:w="1570" w:type="dxa"/>
            <w:tcBorders>
              <w:top w:val="nil"/>
              <w:left w:val="nil"/>
              <w:bottom w:val="nil"/>
              <w:right w:val="nil"/>
            </w:tcBorders>
            <w:noWrap/>
            <w:hideMark/>
          </w:tcPr>
          <w:p w14:paraId="4783CE4C" w14:textId="77777777" w:rsidR="00171A43" w:rsidRPr="001907FA" w:rsidRDefault="00171A43" w:rsidP="00643B41">
            <w:pPr>
              <w:jc w:val="right"/>
              <w:rPr>
                <w:color w:val="000000"/>
                <w:sz w:val="20"/>
              </w:rPr>
            </w:pPr>
            <w:r w:rsidRPr="001907FA">
              <w:rPr>
                <w:color w:val="000000"/>
                <w:sz w:val="20"/>
              </w:rPr>
              <w:t>0.32</w:t>
            </w:r>
          </w:p>
        </w:tc>
        <w:tc>
          <w:tcPr>
            <w:tcW w:w="1172" w:type="dxa"/>
            <w:tcBorders>
              <w:top w:val="nil"/>
              <w:left w:val="nil"/>
              <w:bottom w:val="nil"/>
              <w:right w:val="nil"/>
            </w:tcBorders>
            <w:noWrap/>
            <w:hideMark/>
          </w:tcPr>
          <w:p w14:paraId="268E1B3E" w14:textId="77777777" w:rsidR="00171A43" w:rsidRPr="001907FA" w:rsidRDefault="00171A43" w:rsidP="00643B41">
            <w:pPr>
              <w:jc w:val="right"/>
              <w:rPr>
                <w:color w:val="000000"/>
                <w:sz w:val="20"/>
              </w:rPr>
            </w:pPr>
            <w:r w:rsidRPr="001907FA">
              <w:rPr>
                <w:color w:val="000000"/>
                <w:sz w:val="20"/>
              </w:rPr>
              <w:t>1</w:t>
            </w:r>
          </w:p>
        </w:tc>
        <w:tc>
          <w:tcPr>
            <w:tcW w:w="1105" w:type="dxa"/>
            <w:tcBorders>
              <w:top w:val="nil"/>
              <w:left w:val="nil"/>
              <w:bottom w:val="nil"/>
              <w:right w:val="nil"/>
            </w:tcBorders>
            <w:noWrap/>
            <w:hideMark/>
          </w:tcPr>
          <w:p w14:paraId="34B7E700" w14:textId="77777777" w:rsidR="00171A43" w:rsidRPr="001907FA" w:rsidRDefault="00171A43" w:rsidP="00643B41">
            <w:pPr>
              <w:jc w:val="right"/>
              <w:rPr>
                <w:color w:val="000000"/>
                <w:sz w:val="20"/>
              </w:rPr>
            </w:pPr>
            <w:r w:rsidRPr="001907FA">
              <w:rPr>
                <w:color w:val="000000"/>
                <w:sz w:val="20"/>
              </w:rPr>
              <w:t>3</w:t>
            </w:r>
          </w:p>
        </w:tc>
        <w:tc>
          <w:tcPr>
            <w:tcW w:w="1413" w:type="dxa"/>
            <w:tcBorders>
              <w:top w:val="nil"/>
              <w:left w:val="nil"/>
              <w:bottom w:val="nil"/>
              <w:right w:val="nil"/>
            </w:tcBorders>
            <w:noWrap/>
            <w:hideMark/>
          </w:tcPr>
          <w:p w14:paraId="0E25BDCD" w14:textId="77777777" w:rsidR="00171A43" w:rsidRPr="001907FA" w:rsidRDefault="00171A43" w:rsidP="00643B41">
            <w:pPr>
              <w:jc w:val="right"/>
              <w:rPr>
                <w:color w:val="000000"/>
                <w:sz w:val="20"/>
              </w:rPr>
            </w:pPr>
            <w:r w:rsidRPr="001907FA">
              <w:rPr>
                <w:color w:val="000000"/>
                <w:sz w:val="20"/>
              </w:rPr>
              <w:t>95.68</w:t>
            </w:r>
          </w:p>
        </w:tc>
      </w:tr>
      <w:tr w:rsidR="00171A43" w:rsidRPr="00D96A14" w14:paraId="37867684" w14:textId="77777777" w:rsidTr="00171A43">
        <w:trPr>
          <w:trHeight w:val="288"/>
          <w:jc w:val="center"/>
        </w:trPr>
        <w:tc>
          <w:tcPr>
            <w:tcW w:w="1705" w:type="dxa"/>
            <w:tcBorders>
              <w:top w:val="nil"/>
              <w:left w:val="nil"/>
              <w:bottom w:val="single" w:sz="4" w:space="0" w:color="auto"/>
              <w:right w:val="nil"/>
            </w:tcBorders>
            <w:noWrap/>
            <w:hideMark/>
          </w:tcPr>
          <w:p w14:paraId="655CF2F5" w14:textId="77777777" w:rsidR="00171A43" w:rsidRPr="001907FA" w:rsidRDefault="00171A43" w:rsidP="00643B41">
            <w:pPr>
              <w:rPr>
                <w:color w:val="000000"/>
                <w:sz w:val="20"/>
              </w:rPr>
            </w:pPr>
            <w:r w:rsidRPr="001907FA">
              <w:rPr>
                <w:color w:val="000000"/>
                <w:sz w:val="20"/>
              </w:rPr>
              <w:t>Crustaceans</w:t>
            </w:r>
          </w:p>
        </w:tc>
        <w:tc>
          <w:tcPr>
            <w:tcW w:w="950" w:type="dxa"/>
            <w:tcBorders>
              <w:top w:val="nil"/>
              <w:left w:val="nil"/>
              <w:bottom w:val="single" w:sz="4" w:space="0" w:color="auto"/>
              <w:right w:val="nil"/>
            </w:tcBorders>
            <w:noWrap/>
            <w:hideMark/>
          </w:tcPr>
          <w:p w14:paraId="39E198BD" w14:textId="77777777" w:rsidR="00171A43" w:rsidRPr="001907FA" w:rsidRDefault="00171A43" w:rsidP="00643B41">
            <w:pPr>
              <w:jc w:val="right"/>
              <w:rPr>
                <w:color w:val="000000"/>
                <w:sz w:val="20"/>
              </w:rPr>
            </w:pPr>
            <w:r w:rsidRPr="001907FA">
              <w:rPr>
                <w:color w:val="000000"/>
                <w:sz w:val="20"/>
              </w:rPr>
              <w:t>141</w:t>
            </w:r>
          </w:p>
        </w:tc>
        <w:tc>
          <w:tcPr>
            <w:tcW w:w="1570" w:type="dxa"/>
            <w:tcBorders>
              <w:top w:val="nil"/>
              <w:left w:val="nil"/>
              <w:bottom w:val="single" w:sz="4" w:space="0" w:color="auto"/>
              <w:right w:val="nil"/>
            </w:tcBorders>
            <w:noWrap/>
            <w:hideMark/>
          </w:tcPr>
          <w:p w14:paraId="1EAD6E8B" w14:textId="77777777" w:rsidR="00171A43" w:rsidRPr="001907FA" w:rsidRDefault="00171A43" w:rsidP="00643B41">
            <w:pPr>
              <w:jc w:val="right"/>
              <w:rPr>
                <w:color w:val="000000"/>
                <w:sz w:val="20"/>
              </w:rPr>
            </w:pPr>
            <w:r w:rsidRPr="001907FA">
              <w:rPr>
                <w:color w:val="000000"/>
                <w:sz w:val="20"/>
              </w:rPr>
              <w:t>0</w:t>
            </w:r>
          </w:p>
        </w:tc>
        <w:tc>
          <w:tcPr>
            <w:tcW w:w="1172" w:type="dxa"/>
            <w:tcBorders>
              <w:top w:val="nil"/>
              <w:left w:val="nil"/>
              <w:bottom w:val="single" w:sz="4" w:space="0" w:color="auto"/>
              <w:right w:val="nil"/>
            </w:tcBorders>
            <w:noWrap/>
            <w:hideMark/>
          </w:tcPr>
          <w:p w14:paraId="7E7682D7" w14:textId="77777777" w:rsidR="00171A43" w:rsidRPr="001907FA" w:rsidRDefault="00171A43" w:rsidP="00643B41">
            <w:pPr>
              <w:jc w:val="right"/>
              <w:rPr>
                <w:color w:val="000000"/>
                <w:sz w:val="20"/>
              </w:rPr>
            </w:pPr>
            <w:r w:rsidRPr="001907FA">
              <w:rPr>
                <w:color w:val="000000"/>
                <w:sz w:val="20"/>
              </w:rPr>
              <w:t>0.5</w:t>
            </w:r>
          </w:p>
        </w:tc>
        <w:tc>
          <w:tcPr>
            <w:tcW w:w="1105" w:type="dxa"/>
            <w:tcBorders>
              <w:top w:val="nil"/>
              <w:left w:val="nil"/>
              <w:bottom w:val="single" w:sz="4" w:space="0" w:color="auto"/>
              <w:right w:val="nil"/>
            </w:tcBorders>
            <w:noWrap/>
            <w:hideMark/>
          </w:tcPr>
          <w:p w14:paraId="238662BA" w14:textId="77777777" w:rsidR="00171A43" w:rsidRPr="001907FA" w:rsidRDefault="00171A43" w:rsidP="00643B41">
            <w:pPr>
              <w:jc w:val="right"/>
              <w:rPr>
                <w:color w:val="000000"/>
                <w:sz w:val="20"/>
              </w:rPr>
            </w:pPr>
            <w:r w:rsidRPr="001907FA">
              <w:rPr>
                <w:color w:val="000000"/>
                <w:sz w:val="20"/>
              </w:rPr>
              <w:t>2</w:t>
            </w:r>
          </w:p>
        </w:tc>
        <w:tc>
          <w:tcPr>
            <w:tcW w:w="1413" w:type="dxa"/>
            <w:tcBorders>
              <w:top w:val="nil"/>
              <w:left w:val="nil"/>
              <w:bottom w:val="single" w:sz="4" w:space="0" w:color="auto"/>
              <w:right w:val="nil"/>
            </w:tcBorders>
            <w:noWrap/>
            <w:hideMark/>
          </w:tcPr>
          <w:p w14:paraId="75862D58" w14:textId="77777777" w:rsidR="00171A43" w:rsidRPr="001907FA" w:rsidRDefault="00171A43" w:rsidP="00643B41">
            <w:pPr>
              <w:jc w:val="right"/>
              <w:rPr>
                <w:color w:val="000000"/>
                <w:sz w:val="20"/>
              </w:rPr>
            </w:pPr>
            <w:r w:rsidRPr="001907FA">
              <w:rPr>
                <w:color w:val="000000"/>
                <w:sz w:val="20"/>
              </w:rPr>
              <w:t>97.5</w:t>
            </w:r>
          </w:p>
        </w:tc>
      </w:tr>
    </w:tbl>
    <w:p w14:paraId="283FE3AC" w14:textId="77777777" w:rsidR="00171A43" w:rsidRDefault="00171A43" w:rsidP="00643B41">
      <w:pPr>
        <w:pStyle w:val="Paragraph"/>
        <w:jc w:val="center"/>
        <w:rPr>
          <w:rFonts w:asciiTheme="majorBidi" w:hAnsiTheme="majorBidi" w:cstheme="majorBidi"/>
        </w:rPr>
      </w:pPr>
    </w:p>
    <w:p w14:paraId="6EE4A353" w14:textId="6C6AF0FC" w:rsidR="004F002C" w:rsidRDefault="004F002C" w:rsidP="00321802">
      <w:pPr>
        <w:pStyle w:val="Paragraph"/>
        <w:ind w:firstLine="288"/>
        <w:rPr>
          <w:rFonts w:asciiTheme="majorBidi" w:hAnsiTheme="majorBidi" w:cstheme="majorBidi"/>
        </w:rPr>
      </w:pPr>
      <w:r w:rsidRPr="00B676E5">
        <w:rPr>
          <w:rFonts w:asciiTheme="majorBidi" w:hAnsiTheme="majorBidi" w:cstheme="majorBidi"/>
        </w:rPr>
        <w:t>Butterflies together with crustaceans exhibit high levels of species being Least Concern indicating either strong survivability or insufficient assessment activities.</w:t>
      </w:r>
    </w:p>
    <w:p w14:paraId="030A6773" w14:textId="3420CA73" w:rsidR="00574245" w:rsidRDefault="00574245" w:rsidP="00321802">
      <w:pPr>
        <w:pStyle w:val="Paragraph"/>
        <w:ind w:firstLine="288"/>
      </w:pPr>
      <w:r w:rsidRPr="00E6706F">
        <w:t>The data in Table</w:t>
      </w:r>
      <w:r>
        <w:t xml:space="preserve"> 3</w:t>
      </w:r>
      <w:r w:rsidRPr="00E6706F">
        <w:t xml:space="preserve"> highlights wildlife casualties from road development on various highways in Bangladesh between 2018 and 2021. The Dhaka-</w:t>
      </w:r>
      <w:proofErr w:type="spellStart"/>
      <w:r w:rsidRPr="00E6706F">
        <w:t>Demra</w:t>
      </w:r>
      <w:proofErr w:type="spellEnd"/>
      <w:r w:rsidRPr="00E6706F">
        <w:t xml:space="preserve"> Highway reported the highest number of reported roadkill casualties in </w:t>
      </w:r>
      <w:proofErr w:type="gramStart"/>
      <w:r w:rsidRPr="00E6706F">
        <w:t>2018</w:t>
      </w:r>
      <w:proofErr w:type="gramEnd"/>
      <w:r w:rsidRPr="00E6706F">
        <w:t xml:space="preserve"> as 120 animals of different species lost their lives. The Chittagong-Cox's Bazar transportation route resulted in 95 casualties during 2019 which affected 35 mammals and 45 birds together with 15 reptiles. Road accidents along the </w:t>
      </w:r>
      <w:proofErr w:type="spellStart"/>
      <w:r w:rsidRPr="00E6706F">
        <w:t>Rajshahi</w:t>
      </w:r>
      <w:proofErr w:type="spellEnd"/>
      <w:r w:rsidRPr="00E6706F">
        <w:t>-Pabna Road resulted in eighty cases that killed twenty-five mammals and thirty-five birds while taking twenty reptiles. The total roadkill cases on Sylhet-</w:t>
      </w:r>
      <w:proofErr w:type="spellStart"/>
      <w:r w:rsidRPr="00E6706F">
        <w:t>Shariganj</w:t>
      </w:r>
      <w:proofErr w:type="spellEnd"/>
      <w:r w:rsidRPr="00E6706F">
        <w:t xml:space="preserve"> Road reached 110 in 2021 resulting in the deaths of 30 mammals together with 40 birds and 40 reptiles. The increasing menace to wildlife from urbanization and roads calls for immediate deployment of wildlife corridors and safe crossings as protection measures for biodiversity conservation.</w:t>
      </w:r>
    </w:p>
    <w:p w14:paraId="7258D442" w14:textId="77777777" w:rsidR="00574245" w:rsidRDefault="00574245" w:rsidP="00321802">
      <w:pPr>
        <w:pStyle w:val="Paragraph"/>
        <w:ind w:firstLine="288"/>
      </w:pPr>
      <w:r w:rsidRPr="00E6706F">
        <w:t>Table</w:t>
      </w:r>
      <w:r>
        <w:t xml:space="preserve"> 4</w:t>
      </w:r>
      <w:r w:rsidRPr="00E6706F">
        <w:t xml:space="preserve"> showcases data regarding five Bangladeshi cities' green spaces' areas and percentages of total city space they occupy. Dhaka functions as the capital city with its 22.5 sq km green space </w:t>
      </w:r>
      <w:proofErr w:type="gramStart"/>
      <w:r w:rsidRPr="00E6706F">
        <w:t>representation reaching</w:t>
      </w:r>
      <w:proofErr w:type="gramEnd"/>
      <w:r w:rsidRPr="00E6706F">
        <w:t xml:space="preserve"> 4.80% of the total city area footprint. In the second position stands Chattogram with its 15.3 sq km of green areas that amount to 5.60% of the municipal territory. The city of Khulna holds 9.8 square kilometers of green area that accounts for 6.20% of its total space whereas </w:t>
      </w:r>
      <w:proofErr w:type="spellStart"/>
      <w:r w:rsidRPr="00E6706F">
        <w:t>Rajshahi</w:t>
      </w:r>
      <w:proofErr w:type="spellEnd"/>
      <w:r w:rsidRPr="00E6706F">
        <w:t xml:space="preserve"> dedicates 7.50% of its urban space through 12.1 square kilometers of green area. Sylhet holds the leading position in green space footprint with 8.10% of its territory spread over 14.6 sq km.</w:t>
      </w:r>
    </w:p>
    <w:p w14:paraId="2DD38C4C" w14:textId="77777777" w:rsidR="00844BE3" w:rsidRDefault="00844BE3" w:rsidP="00336DA8">
      <w:pPr>
        <w:pStyle w:val="Paragraph"/>
        <w:ind w:firstLine="288"/>
      </w:pPr>
    </w:p>
    <w:p w14:paraId="7A71A151" w14:textId="2D66B809" w:rsidR="00E6706F" w:rsidRPr="00D96A14" w:rsidRDefault="00E6706F" w:rsidP="00643B41">
      <w:pPr>
        <w:pStyle w:val="Paragraph"/>
        <w:jc w:val="center"/>
        <w:rPr>
          <w:rFonts w:asciiTheme="majorBidi" w:hAnsiTheme="majorBidi" w:cstheme="majorBidi"/>
          <w:sz w:val="18"/>
          <w:szCs w:val="18"/>
        </w:rPr>
      </w:pPr>
    </w:p>
    <w:tbl>
      <w:tblPr>
        <w:tblW w:w="7904" w:type="dxa"/>
        <w:jc w:val="center"/>
        <w:tblLook w:val="04A0" w:firstRow="1" w:lastRow="0" w:firstColumn="1" w:lastColumn="0" w:noHBand="0" w:noVBand="1"/>
      </w:tblPr>
      <w:tblGrid>
        <w:gridCol w:w="2448"/>
        <w:gridCol w:w="720"/>
        <w:gridCol w:w="1728"/>
        <w:gridCol w:w="1152"/>
        <w:gridCol w:w="990"/>
        <w:gridCol w:w="866"/>
      </w:tblGrid>
      <w:tr w:rsidR="00574245" w:rsidRPr="00574245" w14:paraId="3A223B31" w14:textId="77777777" w:rsidTr="00574245">
        <w:trPr>
          <w:trHeight w:val="288"/>
          <w:jc w:val="center"/>
        </w:trPr>
        <w:tc>
          <w:tcPr>
            <w:tcW w:w="7904" w:type="dxa"/>
            <w:gridSpan w:val="6"/>
            <w:tcBorders>
              <w:bottom w:val="single" w:sz="4" w:space="0" w:color="auto"/>
            </w:tcBorders>
            <w:noWrap/>
            <w:vAlign w:val="bottom"/>
          </w:tcPr>
          <w:p w14:paraId="17ABEFFB" w14:textId="684003B0" w:rsidR="00574245" w:rsidRPr="00574245" w:rsidRDefault="00574245" w:rsidP="00643B41">
            <w:pPr>
              <w:spacing w:before="120"/>
              <w:jc w:val="center"/>
              <w:rPr>
                <w:b/>
                <w:bCs/>
                <w:color w:val="000000"/>
                <w:sz w:val="18"/>
                <w:szCs w:val="18"/>
              </w:rPr>
            </w:pPr>
            <w:r w:rsidRPr="00D96A14">
              <w:rPr>
                <w:rFonts w:asciiTheme="majorBidi" w:hAnsiTheme="majorBidi" w:cstheme="majorBidi"/>
                <w:b/>
                <w:bCs/>
                <w:sz w:val="18"/>
                <w:szCs w:val="18"/>
              </w:rPr>
              <w:lastRenderedPageBreak/>
              <w:t>TABLE 3.</w:t>
            </w:r>
            <w:r w:rsidRPr="00D96A14">
              <w:rPr>
                <w:rFonts w:asciiTheme="majorBidi" w:hAnsiTheme="majorBidi" w:cstheme="majorBidi"/>
                <w:sz w:val="18"/>
                <w:szCs w:val="18"/>
              </w:rPr>
              <w:t xml:space="preserve"> Wildlife </w:t>
            </w:r>
            <w:r w:rsidR="00844BE3">
              <w:rPr>
                <w:rFonts w:asciiTheme="majorBidi" w:hAnsiTheme="majorBidi" w:cstheme="majorBidi"/>
                <w:sz w:val="18"/>
                <w:szCs w:val="18"/>
              </w:rPr>
              <w:t>r</w:t>
            </w:r>
            <w:r w:rsidRPr="00D96A14">
              <w:rPr>
                <w:rFonts w:asciiTheme="majorBidi" w:hAnsiTheme="majorBidi" w:cstheme="majorBidi"/>
                <w:sz w:val="18"/>
                <w:szCs w:val="18"/>
              </w:rPr>
              <w:t xml:space="preserve">oadkill </w:t>
            </w:r>
            <w:r w:rsidR="00844BE3">
              <w:rPr>
                <w:rFonts w:asciiTheme="majorBidi" w:hAnsiTheme="majorBidi" w:cstheme="majorBidi"/>
                <w:sz w:val="18"/>
                <w:szCs w:val="18"/>
              </w:rPr>
              <w:t>i</w:t>
            </w:r>
            <w:r w:rsidRPr="00D96A14">
              <w:rPr>
                <w:rFonts w:asciiTheme="majorBidi" w:hAnsiTheme="majorBidi" w:cstheme="majorBidi"/>
                <w:sz w:val="18"/>
                <w:szCs w:val="18"/>
              </w:rPr>
              <w:t xml:space="preserve">ncidents </w:t>
            </w:r>
            <w:r w:rsidR="00844BE3">
              <w:rPr>
                <w:rFonts w:asciiTheme="majorBidi" w:hAnsiTheme="majorBidi" w:cstheme="majorBidi"/>
                <w:sz w:val="18"/>
                <w:szCs w:val="18"/>
              </w:rPr>
              <w:t>d</w:t>
            </w:r>
            <w:r w:rsidRPr="00D96A14">
              <w:rPr>
                <w:rFonts w:asciiTheme="majorBidi" w:hAnsiTheme="majorBidi" w:cstheme="majorBidi"/>
                <w:sz w:val="18"/>
                <w:szCs w:val="18"/>
              </w:rPr>
              <w:t xml:space="preserve">ue to </w:t>
            </w:r>
            <w:r w:rsidR="00844BE3">
              <w:rPr>
                <w:rFonts w:asciiTheme="majorBidi" w:hAnsiTheme="majorBidi" w:cstheme="majorBidi"/>
                <w:sz w:val="18"/>
                <w:szCs w:val="18"/>
              </w:rPr>
              <w:t>u</w:t>
            </w:r>
            <w:r w:rsidRPr="00D96A14">
              <w:rPr>
                <w:rFonts w:asciiTheme="majorBidi" w:hAnsiTheme="majorBidi" w:cstheme="majorBidi"/>
                <w:sz w:val="18"/>
                <w:szCs w:val="18"/>
              </w:rPr>
              <w:t xml:space="preserve">rban </w:t>
            </w:r>
            <w:r w:rsidR="00844BE3">
              <w:rPr>
                <w:rFonts w:asciiTheme="majorBidi" w:hAnsiTheme="majorBidi" w:cstheme="majorBidi"/>
                <w:sz w:val="18"/>
                <w:szCs w:val="18"/>
              </w:rPr>
              <w:t>e</w:t>
            </w:r>
            <w:r w:rsidRPr="00D96A14">
              <w:rPr>
                <w:rFonts w:asciiTheme="majorBidi" w:hAnsiTheme="majorBidi" w:cstheme="majorBidi"/>
                <w:sz w:val="18"/>
                <w:szCs w:val="18"/>
              </w:rPr>
              <w:t>xpansion [14]</w:t>
            </w:r>
          </w:p>
        </w:tc>
      </w:tr>
      <w:tr w:rsidR="00E6706F" w:rsidRPr="00574245" w14:paraId="12055D9D" w14:textId="77777777" w:rsidTr="00574245">
        <w:trPr>
          <w:trHeight w:val="288"/>
          <w:jc w:val="center"/>
        </w:trPr>
        <w:tc>
          <w:tcPr>
            <w:tcW w:w="2448" w:type="dxa"/>
            <w:tcBorders>
              <w:top w:val="single" w:sz="4" w:space="0" w:color="auto"/>
              <w:bottom w:val="single" w:sz="4" w:space="0" w:color="auto"/>
            </w:tcBorders>
            <w:noWrap/>
            <w:vAlign w:val="bottom"/>
            <w:hideMark/>
          </w:tcPr>
          <w:p w14:paraId="449CB836" w14:textId="77777777" w:rsidR="00E6706F" w:rsidRPr="00574245" w:rsidRDefault="00E6706F" w:rsidP="00643B41">
            <w:pPr>
              <w:rPr>
                <w:b/>
                <w:bCs/>
                <w:color w:val="000000"/>
                <w:sz w:val="18"/>
                <w:szCs w:val="18"/>
              </w:rPr>
            </w:pPr>
            <w:r w:rsidRPr="00574245">
              <w:rPr>
                <w:b/>
                <w:bCs/>
                <w:color w:val="000000"/>
                <w:sz w:val="18"/>
                <w:szCs w:val="18"/>
              </w:rPr>
              <w:t>Location</w:t>
            </w:r>
          </w:p>
        </w:tc>
        <w:tc>
          <w:tcPr>
            <w:tcW w:w="720" w:type="dxa"/>
            <w:tcBorders>
              <w:top w:val="single" w:sz="4" w:space="0" w:color="auto"/>
              <w:bottom w:val="single" w:sz="4" w:space="0" w:color="auto"/>
            </w:tcBorders>
            <w:noWrap/>
            <w:vAlign w:val="bottom"/>
            <w:hideMark/>
          </w:tcPr>
          <w:p w14:paraId="4B53D1E3" w14:textId="77777777" w:rsidR="00E6706F" w:rsidRPr="00574245" w:rsidRDefault="00E6706F" w:rsidP="00643B41">
            <w:pPr>
              <w:jc w:val="center"/>
              <w:rPr>
                <w:b/>
                <w:bCs/>
                <w:color w:val="000000"/>
                <w:sz w:val="18"/>
                <w:szCs w:val="18"/>
              </w:rPr>
            </w:pPr>
            <w:r w:rsidRPr="00574245">
              <w:rPr>
                <w:b/>
                <w:bCs/>
                <w:color w:val="000000"/>
                <w:sz w:val="18"/>
                <w:szCs w:val="18"/>
              </w:rPr>
              <w:t>Year</w:t>
            </w:r>
          </w:p>
        </w:tc>
        <w:tc>
          <w:tcPr>
            <w:tcW w:w="1728" w:type="dxa"/>
            <w:tcBorders>
              <w:top w:val="single" w:sz="4" w:space="0" w:color="auto"/>
              <w:bottom w:val="single" w:sz="4" w:space="0" w:color="auto"/>
            </w:tcBorders>
            <w:noWrap/>
            <w:vAlign w:val="bottom"/>
            <w:hideMark/>
          </w:tcPr>
          <w:p w14:paraId="69A7C096" w14:textId="77777777" w:rsidR="00E6706F" w:rsidRPr="00574245" w:rsidRDefault="00E6706F" w:rsidP="00643B41">
            <w:pPr>
              <w:jc w:val="center"/>
              <w:rPr>
                <w:b/>
                <w:bCs/>
                <w:color w:val="000000"/>
                <w:sz w:val="18"/>
                <w:szCs w:val="18"/>
              </w:rPr>
            </w:pPr>
            <w:r w:rsidRPr="00574245">
              <w:rPr>
                <w:b/>
                <w:bCs/>
                <w:color w:val="000000"/>
                <w:sz w:val="18"/>
                <w:szCs w:val="18"/>
              </w:rPr>
              <w:t>Total Roadkill Incidents</w:t>
            </w:r>
          </w:p>
        </w:tc>
        <w:tc>
          <w:tcPr>
            <w:tcW w:w="1152" w:type="dxa"/>
            <w:tcBorders>
              <w:top w:val="single" w:sz="4" w:space="0" w:color="auto"/>
              <w:bottom w:val="single" w:sz="4" w:space="0" w:color="auto"/>
            </w:tcBorders>
            <w:noWrap/>
            <w:vAlign w:val="center"/>
            <w:hideMark/>
          </w:tcPr>
          <w:p w14:paraId="63943380" w14:textId="77777777" w:rsidR="00E6706F" w:rsidRPr="00574245" w:rsidRDefault="00E6706F" w:rsidP="00643B41">
            <w:pPr>
              <w:jc w:val="center"/>
              <w:rPr>
                <w:b/>
                <w:bCs/>
                <w:color w:val="000000"/>
                <w:sz w:val="18"/>
                <w:szCs w:val="18"/>
              </w:rPr>
            </w:pPr>
            <w:r w:rsidRPr="00574245">
              <w:rPr>
                <w:b/>
                <w:bCs/>
                <w:color w:val="000000"/>
                <w:sz w:val="18"/>
                <w:szCs w:val="18"/>
              </w:rPr>
              <w:t>Mammals Affected</w:t>
            </w:r>
          </w:p>
        </w:tc>
        <w:tc>
          <w:tcPr>
            <w:tcW w:w="990" w:type="dxa"/>
            <w:tcBorders>
              <w:top w:val="single" w:sz="4" w:space="0" w:color="auto"/>
              <w:bottom w:val="single" w:sz="4" w:space="0" w:color="auto"/>
            </w:tcBorders>
            <w:noWrap/>
            <w:vAlign w:val="bottom"/>
            <w:hideMark/>
          </w:tcPr>
          <w:p w14:paraId="47889CC0" w14:textId="77777777" w:rsidR="00E6706F" w:rsidRPr="00574245" w:rsidRDefault="00E6706F" w:rsidP="00643B41">
            <w:pPr>
              <w:jc w:val="center"/>
              <w:rPr>
                <w:b/>
                <w:bCs/>
                <w:color w:val="000000"/>
                <w:sz w:val="18"/>
                <w:szCs w:val="18"/>
              </w:rPr>
            </w:pPr>
            <w:r w:rsidRPr="00574245">
              <w:rPr>
                <w:b/>
                <w:bCs/>
                <w:color w:val="000000"/>
                <w:sz w:val="18"/>
                <w:szCs w:val="18"/>
              </w:rPr>
              <w:t>Birds Affected</w:t>
            </w:r>
          </w:p>
        </w:tc>
        <w:tc>
          <w:tcPr>
            <w:tcW w:w="866" w:type="dxa"/>
            <w:tcBorders>
              <w:top w:val="single" w:sz="4" w:space="0" w:color="auto"/>
              <w:bottom w:val="single" w:sz="4" w:space="0" w:color="auto"/>
            </w:tcBorders>
            <w:noWrap/>
            <w:vAlign w:val="bottom"/>
            <w:hideMark/>
          </w:tcPr>
          <w:p w14:paraId="5EF25720" w14:textId="77777777" w:rsidR="00E6706F" w:rsidRPr="00574245" w:rsidRDefault="00E6706F" w:rsidP="00643B41">
            <w:pPr>
              <w:jc w:val="center"/>
              <w:rPr>
                <w:b/>
                <w:bCs/>
                <w:color w:val="000000"/>
                <w:sz w:val="18"/>
                <w:szCs w:val="18"/>
              </w:rPr>
            </w:pPr>
            <w:r w:rsidRPr="00574245">
              <w:rPr>
                <w:b/>
                <w:bCs/>
                <w:color w:val="000000"/>
                <w:sz w:val="18"/>
                <w:szCs w:val="18"/>
              </w:rPr>
              <w:t>Reptiles Affected</w:t>
            </w:r>
          </w:p>
        </w:tc>
      </w:tr>
      <w:tr w:rsidR="00E6706F" w:rsidRPr="00E6706F" w14:paraId="59D981DD" w14:textId="77777777" w:rsidTr="00574245">
        <w:trPr>
          <w:trHeight w:val="288"/>
          <w:jc w:val="center"/>
        </w:trPr>
        <w:tc>
          <w:tcPr>
            <w:tcW w:w="2448" w:type="dxa"/>
            <w:tcBorders>
              <w:top w:val="single" w:sz="4" w:space="0" w:color="auto"/>
            </w:tcBorders>
            <w:noWrap/>
            <w:vAlign w:val="bottom"/>
            <w:hideMark/>
          </w:tcPr>
          <w:p w14:paraId="72E51497" w14:textId="77777777" w:rsidR="00E6706F" w:rsidRPr="00E6706F" w:rsidRDefault="00E6706F" w:rsidP="00643B41">
            <w:pPr>
              <w:rPr>
                <w:color w:val="000000"/>
                <w:sz w:val="20"/>
              </w:rPr>
            </w:pPr>
            <w:r w:rsidRPr="00E6706F">
              <w:rPr>
                <w:color w:val="000000"/>
                <w:sz w:val="20"/>
              </w:rPr>
              <w:t>Dhaka-</w:t>
            </w:r>
            <w:proofErr w:type="spellStart"/>
            <w:r w:rsidRPr="00E6706F">
              <w:rPr>
                <w:color w:val="000000"/>
                <w:sz w:val="20"/>
              </w:rPr>
              <w:t>Demra</w:t>
            </w:r>
            <w:proofErr w:type="spellEnd"/>
            <w:r w:rsidRPr="00E6706F">
              <w:rPr>
                <w:color w:val="000000"/>
                <w:sz w:val="20"/>
              </w:rPr>
              <w:t xml:space="preserve"> Highway</w:t>
            </w:r>
          </w:p>
        </w:tc>
        <w:tc>
          <w:tcPr>
            <w:tcW w:w="720" w:type="dxa"/>
            <w:tcBorders>
              <w:top w:val="single" w:sz="4" w:space="0" w:color="auto"/>
            </w:tcBorders>
            <w:noWrap/>
            <w:vAlign w:val="bottom"/>
            <w:hideMark/>
          </w:tcPr>
          <w:p w14:paraId="5953ECC6" w14:textId="77777777" w:rsidR="00E6706F" w:rsidRPr="00E6706F" w:rsidRDefault="00E6706F" w:rsidP="00643B41">
            <w:pPr>
              <w:rPr>
                <w:color w:val="000000"/>
                <w:sz w:val="20"/>
              </w:rPr>
            </w:pPr>
            <w:r w:rsidRPr="00E6706F">
              <w:rPr>
                <w:color w:val="000000"/>
                <w:sz w:val="20"/>
              </w:rPr>
              <w:t>2018</w:t>
            </w:r>
          </w:p>
        </w:tc>
        <w:tc>
          <w:tcPr>
            <w:tcW w:w="1728" w:type="dxa"/>
            <w:tcBorders>
              <w:top w:val="single" w:sz="4" w:space="0" w:color="auto"/>
            </w:tcBorders>
            <w:noWrap/>
            <w:vAlign w:val="center"/>
            <w:hideMark/>
          </w:tcPr>
          <w:p w14:paraId="03AF54F4" w14:textId="77777777" w:rsidR="00E6706F" w:rsidRPr="00E6706F" w:rsidRDefault="00E6706F" w:rsidP="00643B41">
            <w:pPr>
              <w:jc w:val="center"/>
              <w:rPr>
                <w:color w:val="000000"/>
                <w:sz w:val="20"/>
              </w:rPr>
            </w:pPr>
            <w:r w:rsidRPr="00E6706F">
              <w:rPr>
                <w:color w:val="000000"/>
                <w:sz w:val="20"/>
              </w:rPr>
              <w:t>120</w:t>
            </w:r>
          </w:p>
        </w:tc>
        <w:tc>
          <w:tcPr>
            <w:tcW w:w="1152" w:type="dxa"/>
            <w:tcBorders>
              <w:top w:val="single" w:sz="4" w:space="0" w:color="auto"/>
            </w:tcBorders>
            <w:noWrap/>
            <w:vAlign w:val="center"/>
            <w:hideMark/>
          </w:tcPr>
          <w:p w14:paraId="785AD321" w14:textId="77777777" w:rsidR="00E6706F" w:rsidRPr="00E6706F" w:rsidRDefault="00E6706F" w:rsidP="00643B41">
            <w:pPr>
              <w:jc w:val="center"/>
              <w:rPr>
                <w:color w:val="000000"/>
                <w:sz w:val="20"/>
              </w:rPr>
            </w:pPr>
            <w:r w:rsidRPr="00E6706F">
              <w:rPr>
                <w:color w:val="000000"/>
                <w:sz w:val="20"/>
              </w:rPr>
              <w:t>40</w:t>
            </w:r>
          </w:p>
        </w:tc>
        <w:tc>
          <w:tcPr>
            <w:tcW w:w="990" w:type="dxa"/>
            <w:tcBorders>
              <w:top w:val="single" w:sz="4" w:space="0" w:color="auto"/>
            </w:tcBorders>
            <w:noWrap/>
            <w:vAlign w:val="center"/>
            <w:hideMark/>
          </w:tcPr>
          <w:p w14:paraId="4F62858F" w14:textId="77777777" w:rsidR="00E6706F" w:rsidRPr="00E6706F" w:rsidRDefault="00E6706F" w:rsidP="00643B41">
            <w:pPr>
              <w:jc w:val="center"/>
              <w:rPr>
                <w:color w:val="000000"/>
                <w:sz w:val="20"/>
              </w:rPr>
            </w:pPr>
            <w:r w:rsidRPr="00E6706F">
              <w:rPr>
                <w:color w:val="000000"/>
                <w:sz w:val="20"/>
              </w:rPr>
              <w:t>50</w:t>
            </w:r>
          </w:p>
        </w:tc>
        <w:tc>
          <w:tcPr>
            <w:tcW w:w="866" w:type="dxa"/>
            <w:tcBorders>
              <w:top w:val="single" w:sz="4" w:space="0" w:color="auto"/>
            </w:tcBorders>
            <w:noWrap/>
            <w:vAlign w:val="center"/>
            <w:hideMark/>
          </w:tcPr>
          <w:p w14:paraId="11AAA06F" w14:textId="77777777" w:rsidR="00E6706F" w:rsidRPr="00E6706F" w:rsidRDefault="00E6706F" w:rsidP="00643B41">
            <w:pPr>
              <w:jc w:val="center"/>
              <w:rPr>
                <w:color w:val="000000"/>
                <w:sz w:val="20"/>
              </w:rPr>
            </w:pPr>
            <w:r w:rsidRPr="00E6706F">
              <w:rPr>
                <w:color w:val="000000"/>
                <w:sz w:val="20"/>
              </w:rPr>
              <w:t>30</w:t>
            </w:r>
          </w:p>
        </w:tc>
      </w:tr>
      <w:tr w:rsidR="00E6706F" w:rsidRPr="00E6706F" w14:paraId="447FBAB6" w14:textId="77777777" w:rsidTr="00574245">
        <w:trPr>
          <w:trHeight w:val="288"/>
          <w:jc w:val="center"/>
        </w:trPr>
        <w:tc>
          <w:tcPr>
            <w:tcW w:w="2448" w:type="dxa"/>
            <w:noWrap/>
            <w:vAlign w:val="bottom"/>
            <w:hideMark/>
          </w:tcPr>
          <w:p w14:paraId="0857D654" w14:textId="77777777" w:rsidR="00E6706F" w:rsidRPr="00E6706F" w:rsidRDefault="00E6706F" w:rsidP="00643B41">
            <w:pPr>
              <w:rPr>
                <w:color w:val="000000"/>
                <w:sz w:val="20"/>
              </w:rPr>
            </w:pPr>
            <w:r w:rsidRPr="00E6706F">
              <w:rPr>
                <w:color w:val="000000"/>
                <w:sz w:val="20"/>
              </w:rPr>
              <w:t>Chittagong-Cox’s Bazar</w:t>
            </w:r>
          </w:p>
        </w:tc>
        <w:tc>
          <w:tcPr>
            <w:tcW w:w="720" w:type="dxa"/>
            <w:noWrap/>
            <w:vAlign w:val="bottom"/>
            <w:hideMark/>
          </w:tcPr>
          <w:p w14:paraId="2CC5FC3B" w14:textId="77777777" w:rsidR="00E6706F" w:rsidRPr="00E6706F" w:rsidRDefault="00E6706F" w:rsidP="00643B41">
            <w:pPr>
              <w:rPr>
                <w:color w:val="000000"/>
                <w:sz w:val="20"/>
              </w:rPr>
            </w:pPr>
            <w:r w:rsidRPr="00E6706F">
              <w:rPr>
                <w:color w:val="000000"/>
                <w:sz w:val="20"/>
              </w:rPr>
              <w:t>2019</w:t>
            </w:r>
          </w:p>
        </w:tc>
        <w:tc>
          <w:tcPr>
            <w:tcW w:w="1728" w:type="dxa"/>
            <w:noWrap/>
            <w:vAlign w:val="center"/>
            <w:hideMark/>
          </w:tcPr>
          <w:p w14:paraId="426A2140" w14:textId="77777777" w:rsidR="00E6706F" w:rsidRPr="00E6706F" w:rsidRDefault="00E6706F" w:rsidP="00643B41">
            <w:pPr>
              <w:jc w:val="center"/>
              <w:rPr>
                <w:color w:val="000000"/>
                <w:sz w:val="20"/>
              </w:rPr>
            </w:pPr>
            <w:r w:rsidRPr="00E6706F">
              <w:rPr>
                <w:color w:val="000000"/>
                <w:sz w:val="20"/>
              </w:rPr>
              <w:t>95</w:t>
            </w:r>
          </w:p>
        </w:tc>
        <w:tc>
          <w:tcPr>
            <w:tcW w:w="1152" w:type="dxa"/>
            <w:noWrap/>
            <w:vAlign w:val="center"/>
            <w:hideMark/>
          </w:tcPr>
          <w:p w14:paraId="7C8A6877" w14:textId="77777777" w:rsidR="00E6706F" w:rsidRPr="00E6706F" w:rsidRDefault="00E6706F" w:rsidP="00643B41">
            <w:pPr>
              <w:jc w:val="center"/>
              <w:rPr>
                <w:color w:val="000000"/>
                <w:sz w:val="20"/>
              </w:rPr>
            </w:pPr>
            <w:r w:rsidRPr="00E6706F">
              <w:rPr>
                <w:color w:val="000000"/>
                <w:sz w:val="20"/>
              </w:rPr>
              <w:t>35</w:t>
            </w:r>
          </w:p>
        </w:tc>
        <w:tc>
          <w:tcPr>
            <w:tcW w:w="990" w:type="dxa"/>
            <w:noWrap/>
            <w:vAlign w:val="center"/>
            <w:hideMark/>
          </w:tcPr>
          <w:p w14:paraId="64D6A3BA" w14:textId="77777777" w:rsidR="00E6706F" w:rsidRPr="00E6706F" w:rsidRDefault="00E6706F" w:rsidP="00643B41">
            <w:pPr>
              <w:jc w:val="center"/>
              <w:rPr>
                <w:color w:val="000000"/>
                <w:sz w:val="20"/>
              </w:rPr>
            </w:pPr>
            <w:r w:rsidRPr="00E6706F">
              <w:rPr>
                <w:color w:val="000000"/>
                <w:sz w:val="20"/>
              </w:rPr>
              <w:t>45</w:t>
            </w:r>
          </w:p>
        </w:tc>
        <w:tc>
          <w:tcPr>
            <w:tcW w:w="866" w:type="dxa"/>
            <w:noWrap/>
            <w:vAlign w:val="center"/>
            <w:hideMark/>
          </w:tcPr>
          <w:p w14:paraId="1953F236" w14:textId="77777777" w:rsidR="00E6706F" w:rsidRPr="00E6706F" w:rsidRDefault="00E6706F" w:rsidP="00643B41">
            <w:pPr>
              <w:jc w:val="center"/>
              <w:rPr>
                <w:color w:val="000000"/>
                <w:sz w:val="20"/>
              </w:rPr>
            </w:pPr>
            <w:r w:rsidRPr="00E6706F">
              <w:rPr>
                <w:color w:val="000000"/>
                <w:sz w:val="20"/>
              </w:rPr>
              <w:t>15</w:t>
            </w:r>
          </w:p>
        </w:tc>
      </w:tr>
      <w:tr w:rsidR="00E6706F" w:rsidRPr="00E6706F" w14:paraId="42E4199C" w14:textId="77777777" w:rsidTr="00574245">
        <w:trPr>
          <w:trHeight w:val="288"/>
          <w:jc w:val="center"/>
        </w:trPr>
        <w:tc>
          <w:tcPr>
            <w:tcW w:w="2448" w:type="dxa"/>
            <w:noWrap/>
            <w:vAlign w:val="bottom"/>
            <w:hideMark/>
          </w:tcPr>
          <w:p w14:paraId="732AC1B0" w14:textId="77777777" w:rsidR="00E6706F" w:rsidRPr="00E6706F" w:rsidRDefault="00E6706F" w:rsidP="00643B41">
            <w:pPr>
              <w:rPr>
                <w:color w:val="000000"/>
                <w:sz w:val="20"/>
              </w:rPr>
            </w:pPr>
            <w:proofErr w:type="spellStart"/>
            <w:r w:rsidRPr="00E6706F">
              <w:rPr>
                <w:color w:val="000000"/>
                <w:sz w:val="20"/>
              </w:rPr>
              <w:t>Rajshahi</w:t>
            </w:r>
            <w:proofErr w:type="spellEnd"/>
            <w:r w:rsidRPr="00E6706F">
              <w:rPr>
                <w:color w:val="000000"/>
                <w:sz w:val="20"/>
              </w:rPr>
              <w:t>-Pabna Road</w:t>
            </w:r>
          </w:p>
        </w:tc>
        <w:tc>
          <w:tcPr>
            <w:tcW w:w="720" w:type="dxa"/>
            <w:noWrap/>
            <w:vAlign w:val="bottom"/>
            <w:hideMark/>
          </w:tcPr>
          <w:p w14:paraId="4A557A84" w14:textId="77777777" w:rsidR="00E6706F" w:rsidRPr="00E6706F" w:rsidRDefault="00E6706F" w:rsidP="00643B41">
            <w:pPr>
              <w:rPr>
                <w:color w:val="000000"/>
                <w:sz w:val="20"/>
              </w:rPr>
            </w:pPr>
            <w:r w:rsidRPr="00E6706F">
              <w:rPr>
                <w:color w:val="000000"/>
                <w:sz w:val="20"/>
              </w:rPr>
              <w:t>2020</w:t>
            </w:r>
          </w:p>
        </w:tc>
        <w:tc>
          <w:tcPr>
            <w:tcW w:w="1728" w:type="dxa"/>
            <w:noWrap/>
            <w:vAlign w:val="center"/>
            <w:hideMark/>
          </w:tcPr>
          <w:p w14:paraId="4C4A0447" w14:textId="77777777" w:rsidR="00E6706F" w:rsidRPr="00E6706F" w:rsidRDefault="00E6706F" w:rsidP="00643B41">
            <w:pPr>
              <w:jc w:val="center"/>
              <w:rPr>
                <w:color w:val="000000"/>
                <w:sz w:val="20"/>
              </w:rPr>
            </w:pPr>
            <w:r w:rsidRPr="00E6706F">
              <w:rPr>
                <w:color w:val="000000"/>
                <w:sz w:val="20"/>
              </w:rPr>
              <w:t>80</w:t>
            </w:r>
          </w:p>
        </w:tc>
        <w:tc>
          <w:tcPr>
            <w:tcW w:w="1152" w:type="dxa"/>
            <w:noWrap/>
            <w:vAlign w:val="center"/>
            <w:hideMark/>
          </w:tcPr>
          <w:p w14:paraId="4E92E7F7" w14:textId="77777777" w:rsidR="00E6706F" w:rsidRPr="00E6706F" w:rsidRDefault="00E6706F" w:rsidP="00643B41">
            <w:pPr>
              <w:jc w:val="center"/>
              <w:rPr>
                <w:color w:val="000000"/>
                <w:sz w:val="20"/>
              </w:rPr>
            </w:pPr>
            <w:r w:rsidRPr="00E6706F">
              <w:rPr>
                <w:color w:val="000000"/>
                <w:sz w:val="20"/>
              </w:rPr>
              <w:t>25</w:t>
            </w:r>
          </w:p>
        </w:tc>
        <w:tc>
          <w:tcPr>
            <w:tcW w:w="990" w:type="dxa"/>
            <w:noWrap/>
            <w:vAlign w:val="center"/>
            <w:hideMark/>
          </w:tcPr>
          <w:p w14:paraId="74D9D634" w14:textId="77777777" w:rsidR="00E6706F" w:rsidRPr="00E6706F" w:rsidRDefault="00E6706F" w:rsidP="00643B41">
            <w:pPr>
              <w:jc w:val="center"/>
              <w:rPr>
                <w:color w:val="000000"/>
                <w:sz w:val="20"/>
              </w:rPr>
            </w:pPr>
            <w:r w:rsidRPr="00E6706F">
              <w:rPr>
                <w:color w:val="000000"/>
                <w:sz w:val="20"/>
              </w:rPr>
              <w:t>35</w:t>
            </w:r>
          </w:p>
        </w:tc>
        <w:tc>
          <w:tcPr>
            <w:tcW w:w="866" w:type="dxa"/>
            <w:noWrap/>
            <w:vAlign w:val="center"/>
            <w:hideMark/>
          </w:tcPr>
          <w:p w14:paraId="63FB832C" w14:textId="77777777" w:rsidR="00E6706F" w:rsidRPr="00E6706F" w:rsidRDefault="00E6706F" w:rsidP="00643B41">
            <w:pPr>
              <w:jc w:val="center"/>
              <w:rPr>
                <w:color w:val="000000"/>
                <w:sz w:val="20"/>
              </w:rPr>
            </w:pPr>
            <w:r w:rsidRPr="00E6706F">
              <w:rPr>
                <w:color w:val="000000"/>
                <w:sz w:val="20"/>
              </w:rPr>
              <w:t>20</w:t>
            </w:r>
          </w:p>
        </w:tc>
      </w:tr>
      <w:tr w:rsidR="00E6706F" w:rsidRPr="00E6706F" w14:paraId="1795527E" w14:textId="77777777" w:rsidTr="00574245">
        <w:trPr>
          <w:trHeight w:val="288"/>
          <w:jc w:val="center"/>
        </w:trPr>
        <w:tc>
          <w:tcPr>
            <w:tcW w:w="2448" w:type="dxa"/>
            <w:tcBorders>
              <w:bottom w:val="single" w:sz="4" w:space="0" w:color="auto"/>
            </w:tcBorders>
            <w:noWrap/>
            <w:vAlign w:val="bottom"/>
            <w:hideMark/>
          </w:tcPr>
          <w:p w14:paraId="43B73B5B" w14:textId="77777777" w:rsidR="00E6706F" w:rsidRPr="00E6706F" w:rsidRDefault="00E6706F" w:rsidP="00643B41">
            <w:pPr>
              <w:rPr>
                <w:color w:val="000000"/>
                <w:sz w:val="20"/>
              </w:rPr>
            </w:pPr>
            <w:r w:rsidRPr="00E6706F">
              <w:rPr>
                <w:color w:val="000000"/>
                <w:sz w:val="20"/>
              </w:rPr>
              <w:t>Sylhet-</w:t>
            </w:r>
            <w:proofErr w:type="spellStart"/>
            <w:r w:rsidRPr="00E6706F">
              <w:rPr>
                <w:color w:val="000000"/>
                <w:sz w:val="20"/>
              </w:rPr>
              <w:t>Shariganj</w:t>
            </w:r>
            <w:proofErr w:type="spellEnd"/>
            <w:r w:rsidRPr="00E6706F">
              <w:rPr>
                <w:color w:val="000000"/>
                <w:sz w:val="20"/>
              </w:rPr>
              <w:t xml:space="preserve"> Road</w:t>
            </w:r>
          </w:p>
        </w:tc>
        <w:tc>
          <w:tcPr>
            <w:tcW w:w="720" w:type="dxa"/>
            <w:tcBorders>
              <w:bottom w:val="single" w:sz="4" w:space="0" w:color="auto"/>
            </w:tcBorders>
            <w:noWrap/>
            <w:vAlign w:val="bottom"/>
            <w:hideMark/>
          </w:tcPr>
          <w:p w14:paraId="676CE90C" w14:textId="77777777" w:rsidR="00E6706F" w:rsidRPr="00E6706F" w:rsidRDefault="00E6706F" w:rsidP="00643B41">
            <w:pPr>
              <w:rPr>
                <w:color w:val="000000"/>
                <w:sz w:val="20"/>
              </w:rPr>
            </w:pPr>
            <w:r w:rsidRPr="00E6706F">
              <w:rPr>
                <w:color w:val="000000"/>
                <w:sz w:val="20"/>
              </w:rPr>
              <w:t>2021</w:t>
            </w:r>
          </w:p>
        </w:tc>
        <w:tc>
          <w:tcPr>
            <w:tcW w:w="1728" w:type="dxa"/>
            <w:tcBorders>
              <w:bottom w:val="single" w:sz="4" w:space="0" w:color="auto"/>
            </w:tcBorders>
            <w:noWrap/>
            <w:vAlign w:val="center"/>
            <w:hideMark/>
          </w:tcPr>
          <w:p w14:paraId="58356D24" w14:textId="77777777" w:rsidR="00E6706F" w:rsidRPr="00E6706F" w:rsidRDefault="00E6706F" w:rsidP="00643B41">
            <w:pPr>
              <w:jc w:val="center"/>
              <w:rPr>
                <w:color w:val="000000"/>
                <w:sz w:val="20"/>
              </w:rPr>
            </w:pPr>
            <w:r w:rsidRPr="00E6706F">
              <w:rPr>
                <w:color w:val="000000"/>
                <w:sz w:val="20"/>
              </w:rPr>
              <w:t>110</w:t>
            </w:r>
          </w:p>
        </w:tc>
        <w:tc>
          <w:tcPr>
            <w:tcW w:w="1152" w:type="dxa"/>
            <w:tcBorders>
              <w:bottom w:val="single" w:sz="4" w:space="0" w:color="auto"/>
            </w:tcBorders>
            <w:noWrap/>
            <w:vAlign w:val="center"/>
            <w:hideMark/>
          </w:tcPr>
          <w:p w14:paraId="14A8DA9E" w14:textId="77777777" w:rsidR="00E6706F" w:rsidRPr="00E6706F" w:rsidRDefault="00E6706F" w:rsidP="00643B41">
            <w:pPr>
              <w:jc w:val="center"/>
              <w:rPr>
                <w:color w:val="000000"/>
                <w:sz w:val="20"/>
              </w:rPr>
            </w:pPr>
            <w:r w:rsidRPr="00E6706F">
              <w:rPr>
                <w:color w:val="000000"/>
                <w:sz w:val="20"/>
              </w:rPr>
              <w:t>30</w:t>
            </w:r>
          </w:p>
        </w:tc>
        <w:tc>
          <w:tcPr>
            <w:tcW w:w="990" w:type="dxa"/>
            <w:tcBorders>
              <w:bottom w:val="single" w:sz="4" w:space="0" w:color="auto"/>
            </w:tcBorders>
            <w:noWrap/>
            <w:vAlign w:val="center"/>
            <w:hideMark/>
          </w:tcPr>
          <w:p w14:paraId="2CD79F64" w14:textId="77777777" w:rsidR="00E6706F" w:rsidRPr="00E6706F" w:rsidRDefault="00E6706F" w:rsidP="00643B41">
            <w:pPr>
              <w:jc w:val="center"/>
              <w:rPr>
                <w:color w:val="000000"/>
                <w:sz w:val="20"/>
              </w:rPr>
            </w:pPr>
            <w:r w:rsidRPr="00E6706F">
              <w:rPr>
                <w:color w:val="000000"/>
                <w:sz w:val="20"/>
              </w:rPr>
              <w:t>40</w:t>
            </w:r>
          </w:p>
        </w:tc>
        <w:tc>
          <w:tcPr>
            <w:tcW w:w="866" w:type="dxa"/>
            <w:tcBorders>
              <w:bottom w:val="single" w:sz="4" w:space="0" w:color="auto"/>
            </w:tcBorders>
            <w:noWrap/>
            <w:vAlign w:val="center"/>
            <w:hideMark/>
          </w:tcPr>
          <w:p w14:paraId="670A7773" w14:textId="77777777" w:rsidR="00E6706F" w:rsidRPr="00E6706F" w:rsidRDefault="00E6706F" w:rsidP="00643B41">
            <w:pPr>
              <w:jc w:val="center"/>
              <w:rPr>
                <w:color w:val="000000"/>
                <w:sz w:val="20"/>
              </w:rPr>
            </w:pPr>
            <w:r w:rsidRPr="00E6706F">
              <w:rPr>
                <w:color w:val="000000"/>
                <w:sz w:val="20"/>
              </w:rPr>
              <w:t>40</w:t>
            </w:r>
          </w:p>
        </w:tc>
      </w:tr>
    </w:tbl>
    <w:p w14:paraId="0DBC3B8B" w14:textId="18301208" w:rsidR="00E6706F" w:rsidRPr="00D96A14" w:rsidRDefault="00E6706F" w:rsidP="00643B41">
      <w:pPr>
        <w:pStyle w:val="Paragraph"/>
        <w:jc w:val="center"/>
        <w:rPr>
          <w:sz w:val="18"/>
          <w:szCs w:val="18"/>
        </w:rPr>
      </w:pPr>
    </w:p>
    <w:tbl>
      <w:tblPr>
        <w:tblStyle w:val="TableGrid"/>
        <w:tblW w:w="6755" w:type="dxa"/>
        <w:jc w:val="center"/>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7"/>
        <w:gridCol w:w="2304"/>
        <w:gridCol w:w="2304"/>
      </w:tblGrid>
      <w:tr w:rsidR="00574245" w:rsidRPr="00574245" w14:paraId="045C877F" w14:textId="77777777" w:rsidTr="00574245">
        <w:trPr>
          <w:trHeight w:val="288"/>
          <w:jc w:val="center"/>
        </w:trPr>
        <w:tc>
          <w:tcPr>
            <w:tcW w:w="6755" w:type="dxa"/>
            <w:gridSpan w:val="3"/>
            <w:tcBorders>
              <w:bottom w:val="single" w:sz="4" w:space="0" w:color="auto"/>
            </w:tcBorders>
            <w:noWrap/>
            <w:vAlign w:val="center"/>
          </w:tcPr>
          <w:p w14:paraId="05395AC9" w14:textId="56ECFE29" w:rsidR="00574245" w:rsidRPr="00574245" w:rsidRDefault="00574245" w:rsidP="00643B41">
            <w:pPr>
              <w:spacing w:before="120"/>
              <w:jc w:val="center"/>
              <w:rPr>
                <w:b/>
                <w:bCs/>
                <w:color w:val="000000"/>
                <w:sz w:val="18"/>
                <w:szCs w:val="18"/>
              </w:rPr>
            </w:pPr>
            <w:r w:rsidRPr="00D96A14">
              <w:rPr>
                <w:b/>
                <w:bCs/>
                <w:sz w:val="18"/>
                <w:szCs w:val="18"/>
              </w:rPr>
              <w:t>TABLE 4.</w:t>
            </w:r>
            <w:r w:rsidRPr="00D96A14">
              <w:rPr>
                <w:sz w:val="18"/>
                <w:szCs w:val="18"/>
              </w:rPr>
              <w:t xml:space="preserve"> Availability of </w:t>
            </w:r>
            <w:r w:rsidR="00844BE3">
              <w:rPr>
                <w:sz w:val="18"/>
                <w:szCs w:val="18"/>
              </w:rPr>
              <w:t>u</w:t>
            </w:r>
            <w:r w:rsidRPr="00D96A14">
              <w:rPr>
                <w:sz w:val="18"/>
                <w:szCs w:val="18"/>
              </w:rPr>
              <w:t xml:space="preserve">rban </w:t>
            </w:r>
            <w:r w:rsidR="00844BE3">
              <w:rPr>
                <w:sz w:val="18"/>
                <w:szCs w:val="18"/>
              </w:rPr>
              <w:t>g</w:t>
            </w:r>
            <w:r w:rsidRPr="00D96A14">
              <w:rPr>
                <w:sz w:val="18"/>
                <w:szCs w:val="18"/>
              </w:rPr>
              <w:t xml:space="preserve">reen </w:t>
            </w:r>
            <w:r w:rsidR="00844BE3">
              <w:rPr>
                <w:sz w:val="18"/>
                <w:szCs w:val="18"/>
              </w:rPr>
              <w:t>s</w:t>
            </w:r>
            <w:r w:rsidRPr="00D96A14">
              <w:rPr>
                <w:sz w:val="18"/>
                <w:szCs w:val="18"/>
              </w:rPr>
              <w:t xml:space="preserve">paces in </w:t>
            </w:r>
            <w:r w:rsidR="00844BE3">
              <w:rPr>
                <w:sz w:val="18"/>
                <w:szCs w:val="18"/>
              </w:rPr>
              <w:t>m</w:t>
            </w:r>
            <w:r w:rsidRPr="00D96A14">
              <w:rPr>
                <w:sz w:val="18"/>
                <w:szCs w:val="18"/>
              </w:rPr>
              <w:t xml:space="preserve">ajor </w:t>
            </w:r>
            <w:r w:rsidR="00844BE3">
              <w:rPr>
                <w:sz w:val="18"/>
                <w:szCs w:val="18"/>
              </w:rPr>
              <w:t>c</w:t>
            </w:r>
            <w:r w:rsidRPr="00D96A14">
              <w:rPr>
                <w:sz w:val="18"/>
                <w:szCs w:val="18"/>
              </w:rPr>
              <w:t>ities of Bangladesh (2019) [13]</w:t>
            </w:r>
          </w:p>
        </w:tc>
      </w:tr>
      <w:tr w:rsidR="00E6706F" w:rsidRPr="00574245" w14:paraId="6889B686" w14:textId="77777777" w:rsidTr="00574245">
        <w:trPr>
          <w:trHeight w:val="288"/>
          <w:jc w:val="center"/>
        </w:trPr>
        <w:tc>
          <w:tcPr>
            <w:tcW w:w="2147" w:type="dxa"/>
            <w:tcBorders>
              <w:top w:val="single" w:sz="4" w:space="0" w:color="auto"/>
              <w:bottom w:val="single" w:sz="4" w:space="0" w:color="auto"/>
            </w:tcBorders>
            <w:noWrap/>
            <w:vAlign w:val="center"/>
            <w:hideMark/>
          </w:tcPr>
          <w:p w14:paraId="2EDC43F3" w14:textId="77777777" w:rsidR="00E6706F" w:rsidRPr="00574245" w:rsidRDefault="00E6706F" w:rsidP="00643B41">
            <w:pPr>
              <w:jc w:val="center"/>
              <w:rPr>
                <w:b/>
                <w:bCs/>
                <w:color w:val="000000"/>
                <w:sz w:val="18"/>
                <w:szCs w:val="18"/>
              </w:rPr>
            </w:pPr>
            <w:r w:rsidRPr="00574245">
              <w:rPr>
                <w:b/>
                <w:bCs/>
                <w:color w:val="000000"/>
                <w:sz w:val="18"/>
                <w:szCs w:val="18"/>
              </w:rPr>
              <w:t>City</w:t>
            </w:r>
          </w:p>
        </w:tc>
        <w:tc>
          <w:tcPr>
            <w:tcW w:w="2304" w:type="dxa"/>
            <w:tcBorders>
              <w:top w:val="single" w:sz="4" w:space="0" w:color="auto"/>
              <w:bottom w:val="single" w:sz="4" w:space="0" w:color="auto"/>
            </w:tcBorders>
            <w:noWrap/>
            <w:vAlign w:val="center"/>
            <w:hideMark/>
          </w:tcPr>
          <w:p w14:paraId="53278310" w14:textId="77777777" w:rsidR="00E6706F" w:rsidRPr="00574245" w:rsidRDefault="00E6706F" w:rsidP="00643B41">
            <w:pPr>
              <w:jc w:val="center"/>
              <w:rPr>
                <w:b/>
                <w:bCs/>
                <w:color w:val="000000"/>
                <w:sz w:val="18"/>
                <w:szCs w:val="18"/>
              </w:rPr>
            </w:pPr>
            <w:r w:rsidRPr="00574245">
              <w:rPr>
                <w:b/>
                <w:bCs/>
                <w:color w:val="000000"/>
                <w:sz w:val="18"/>
                <w:szCs w:val="18"/>
              </w:rPr>
              <w:t>Green Space Area (sq km)</w:t>
            </w:r>
          </w:p>
        </w:tc>
        <w:tc>
          <w:tcPr>
            <w:tcW w:w="2304" w:type="dxa"/>
            <w:tcBorders>
              <w:top w:val="single" w:sz="4" w:space="0" w:color="auto"/>
              <w:bottom w:val="single" w:sz="4" w:space="0" w:color="auto"/>
            </w:tcBorders>
            <w:noWrap/>
            <w:vAlign w:val="center"/>
            <w:hideMark/>
          </w:tcPr>
          <w:p w14:paraId="2DDBE916" w14:textId="77777777" w:rsidR="00E6706F" w:rsidRPr="00574245" w:rsidRDefault="00E6706F" w:rsidP="00643B41">
            <w:pPr>
              <w:jc w:val="center"/>
              <w:rPr>
                <w:b/>
                <w:bCs/>
                <w:color w:val="000000"/>
                <w:sz w:val="18"/>
                <w:szCs w:val="18"/>
              </w:rPr>
            </w:pPr>
            <w:r w:rsidRPr="00574245">
              <w:rPr>
                <w:b/>
                <w:bCs/>
                <w:color w:val="000000"/>
                <w:sz w:val="18"/>
                <w:szCs w:val="18"/>
              </w:rPr>
              <w:t>% of Total City Area</w:t>
            </w:r>
          </w:p>
        </w:tc>
      </w:tr>
      <w:tr w:rsidR="00E6706F" w:rsidRPr="00E6706F" w14:paraId="224A9C99" w14:textId="77777777" w:rsidTr="00574245">
        <w:trPr>
          <w:trHeight w:val="288"/>
          <w:jc w:val="center"/>
        </w:trPr>
        <w:tc>
          <w:tcPr>
            <w:tcW w:w="2147" w:type="dxa"/>
            <w:tcBorders>
              <w:top w:val="single" w:sz="4" w:space="0" w:color="auto"/>
            </w:tcBorders>
            <w:noWrap/>
            <w:vAlign w:val="center"/>
            <w:hideMark/>
          </w:tcPr>
          <w:p w14:paraId="062C221A" w14:textId="77777777" w:rsidR="00E6706F" w:rsidRPr="00E6706F" w:rsidRDefault="00E6706F" w:rsidP="00643B41">
            <w:pPr>
              <w:rPr>
                <w:color w:val="000000"/>
                <w:sz w:val="20"/>
              </w:rPr>
            </w:pPr>
            <w:r w:rsidRPr="00E6706F">
              <w:rPr>
                <w:color w:val="000000"/>
                <w:sz w:val="20"/>
              </w:rPr>
              <w:t>Dhaka</w:t>
            </w:r>
          </w:p>
        </w:tc>
        <w:tc>
          <w:tcPr>
            <w:tcW w:w="2304" w:type="dxa"/>
            <w:tcBorders>
              <w:top w:val="single" w:sz="4" w:space="0" w:color="auto"/>
            </w:tcBorders>
            <w:noWrap/>
            <w:vAlign w:val="center"/>
            <w:hideMark/>
          </w:tcPr>
          <w:p w14:paraId="6624F6BE" w14:textId="77777777" w:rsidR="00E6706F" w:rsidRPr="00E6706F" w:rsidRDefault="00E6706F" w:rsidP="00643B41">
            <w:pPr>
              <w:jc w:val="center"/>
              <w:rPr>
                <w:color w:val="000000"/>
                <w:sz w:val="20"/>
              </w:rPr>
            </w:pPr>
            <w:r w:rsidRPr="00E6706F">
              <w:rPr>
                <w:color w:val="000000"/>
                <w:sz w:val="20"/>
              </w:rPr>
              <w:t>22.5</w:t>
            </w:r>
          </w:p>
        </w:tc>
        <w:tc>
          <w:tcPr>
            <w:tcW w:w="2304" w:type="dxa"/>
            <w:tcBorders>
              <w:top w:val="single" w:sz="4" w:space="0" w:color="auto"/>
            </w:tcBorders>
            <w:noWrap/>
            <w:vAlign w:val="center"/>
            <w:hideMark/>
          </w:tcPr>
          <w:p w14:paraId="331AB2D0" w14:textId="77777777" w:rsidR="00E6706F" w:rsidRPr="00E6706F" w:rsidRDefault="00E6706F" w:rsidP="00643B41">
            <w:pPr>
              <w:jc w:val="center"/>
              <w:rPr>
                <w:color w:val="000000"/>
                <w:sz w:val="20"/>
              </w:rPr>
            </w:pPr>
            <w:r w:rsidRPr="00E6706F">
              <w:rPr>
                <w:color w:val="000000"/>
                <w:sz w:val="20"/>
              </w:rPr>
              <w:t>4.80%</w:t>
            </w:r>
          </w:p>
        </w:tc>
      </w:tr>
      <w:tr w:rsidR="00E6706F" w:rsidRPr="00E6706F" w14:paraId="748CC92B" w14:textId="77777777" w:rsidTr="00574245">
        <w:trPr>
          <w:trHeight w:val="288"/>
          <w:jc w:val="center"/>
        </w:trPr>
        <w:tc>
          <w:tcPr>
            <w:tcW w:w="2147" w:type="dxa"/>
            <w:noWrap/>
            <w:vAlign w:val="center"/>
            <w:hideMark/>
          </w:tcPr>
          <w:p w14:paraId="2366548D" w14:textId="77777777" w:rsidR="00E6706F" w:rsidRPr="00E6706F" w:rsidRDefault="00E6706F" w:rsidP="00643B41">
            <w:pPr>
              <w:rPr>
                <w:color w:val="000000"/>
                <w:sz w:val="20"/>
              </w:rPr>
            </w:pPr>
            <w:r w:rsidRPr="00E6706F">
              <w:rPr>
                <w:color w:val="000000"/>
                <w:sz w:val="20"/>
              </w:rPr>
              <w:t>Chattogram</w:t>
            </w:r>
          </w:p>
        </w:tc>
        <w:tc>
          <w:tcPr>
            <w:tcW w:w="2304" w:type="dxa"/>
            <w:noWrap/>
            <w:vAlign w:val="center"/>
            <w:hideMark/>
          </w:tcPr>
          <w:p w14:paraId="27C67D31" w14:textId="77777777" w:rsidR="00E6706F" w:rsidRPr="00E6706F" w:rsidRDefault="00E6706F" w:rsidP="00643B41">
            <w:pPr>
              <w:jc w:val="center"/>
              <w:rPr>
                <w:color w:val="000000"/>
                <w:sz w:val="20"/>
              </w:rPr>
            </w:pPr>
            <w:r w:rsidRPr="00E6706F">
              <w:rPr>
                <w:color w:val="000000"/>
                <w:sz w:val="20"/>
              </w:rPr>
              <w:t>15.3</w:t>
            </w:r>
          </w:p>
        </w:tc>
        <w:tc>
          <w:tcPr>
            <w:tcW w:w="2304" w:type="dxa"/>
            <w:noWrap/>
            <w:vAlign w:val="center"/>
            <w:hideMark/>
          </w:tcPr>
          <w:p w14:paraId="04BD7DB9" w14:textId="77777777" w:rsidR="00E6706F" w:rsidRPr="00E6706F" w:rsidRDefault="00E6706F" w:rsidP="00643B41">
            <w:pPr>
              <w:jc w:val="center"/>
              <w:rPr>
                <w:color w:val="000000"/>
                <w:sz w:val="20"/>
              </w:rPr>
            </w:pPr>
            <w:r w:rsidRPr="00E6706F">
              <w:rPr>
                <w:color w:val="000000"/>
                <w:sz w:val="20"/>
              </w:rPr>
              <w:t>5.60%</w:t>
            </w:r>
          </w:p>
        </w:tc>
      </w:tr>
      <w:tr w:rsidR="00E6706F" w:rsidRPr="00E6706F" w14:paraId="020216D7" w14:textId="77777777" w:rsidTr="00574245">
        <w:trPr>
          <w:trHeight w:val="288"/>
          <w:jc w:val="center"/>
        </w:trPr>
        <w:tc>
          <w:tcPr>
            <w:tcW w:w="2147" w:type="dxa"/>
            <w:noWrap/>
            <w:vAlign w:val="center"/>
            <w:hideMark/>
          </w:tcPr>
          <w:p w14:paraId="580E61D8" w14:textId="77777777" w:rsidR="00E6706F" w:rsidRPr="00E6706F" w:rsidRDefault="00E6706F" w:rsidP="00643B41">
            <w:pPr>
              <w:rPr>
                <w:color w:val="000000"/>
                <w:sz w:val="20"/>
              </w:rPr>
            </w:pPr>
            <w:r w:rsidRPr="00E6706F">
              <w:rPr>
                <w:color w:val="000000"/>
                <w:sz w:val="20"/>
              </w:rPr>
              <w:t>Khulna</w:t>
            </w:r>
          </w:p>
        </w:tc>
        <w:tc>
          <w:tcPr>
            <w:tcW w:w="2304" w:type="dxa"/>
            <w:noWrap/>
            <w:vAlign w:val="center"/>
            <w:hideMark/>
          </w:tcPr>
          <w:p w14:paraId="3ACC729C" w14:textId="77777777" w:rsidR="00E6706F" w:rsidRPr="00E6706F" w:rsidRDefault="00E6706F" w:rsidP="00643B41">
            <w:pPr>
              <w:jc w:val="center"/>
              <w:rPr>
                <w:color w:val="000000"/>
                <w:sz w:val="20"/>
              </w:rPr>
            </w:pPr>
            <w:r w:rsidRPr="00E6706F">
              <w:rPr>
                <w:color w:val="000000"/>
                <w:sz w:val="20"/>
              </w:rPr>
              <w:t>9.8</w:t>
            </w:r>
          </w:p>
        </w:tc>
        <w:tc>
          <w:tcPr>
            <w:tcW w:w="2304" w:type="dxa"/>
            <w:noWrap/>
            <w:vAlign w:val="center"/>
            <w:hideMark/>
          </w:tcPr>
          <w:p w14:paraId="5055AE07" w14:textId="77777777" w:rsidR="00E6706F" w:rsidRPr="00E6706F" w:rsidRDefault="00E6706F" w:rsidP="00643B41">
            <w:pPr>
              <w:jc w:val="center"/>
              <w:rPr>
                <w:color w:val="000000"/>
                <w:sz w:val="20"/>
              </w:rPr>
            </w:pPr>
            <w:r w:rsidRPr="00E6706F">
              <w:rPr>
                <w:color w:val="000000"/>
                <w:sz w:val="20"/>
              </w:rPr>
              <w:t>6.20%</w:t>
            </w:r>
          </w:p>
        </w:tc>
      </w:tr>
      <w:tr w:rsidR="00E6706F" w:rsidRPr="00E6706F" w14:paraId="23AD1FB3" w14:textId="77777777" w:rsidTr="00574245">
        <w:trPr>
          <w:trHeight w:val="288"/>
          <w:jc w:val="center"/>
        </w:trPr>
        <w:tc>
          <w:tcPr>
            <w:tcW w:w="2147" w:type="dxa"/>
            <w:noWrap/>
            <w:vAlign w:val="center"/>
            <w:hideMark/>
          </w:tcPr>
          <w:p w14:paraId="2532F6D8" w14:textId="77777777" w:rsidR="00E6706F" w:rsidRPr="00E6706F" w:rsidRDefault="00E6706F" w:rsidP="00643B41">
            <w:pPr>
              <w:rPr>
                <w:color w:val="000000"/>
                <w:sz w:val="20"/>
              </w:rPr>
            </w:pPr>
            <w:proofErr w:type="spellStart"/>
            <w:r w:rsidRPr="00E6706F">
              <w:rPr>
                <w:color w:val="000000"/>
                <w:sz w:val="20"/>
              </w:rPr>
              <w:t>Rajshahi</w:t>
            </w:r>
            <w:proofErr w:type="spellEnd"/>
          </w:p>
        </w:tc>
        <w:tc>
          <w:tcPr>
            <w:tcW w:w="2304" w:type="dxa"/>
            <w:noWrap/>
            <w:vAlign w:val="center"/>
            <w:hideMark/>
          </w:tcPr>
          <w:p w14:paraId="2F3493EA" w14:textId="77777777" w:rsidR="00E6706F" w:rsidRPr="00E6706F" w:rsidRDefault="00E6706F" w:rsidP="00643B41">
            <w:pPr>
              <w:jc w:val="center"/>
              <w:rPr>
                <w:color w:val="000000"/>
                <w:sz w:val="20"/>
              </w:rPr>
            </w:pPr>
            <w:r w:rsidRPr="00E6706F">
              <w:rPr>
                <w:color w:val="000000"/>
                <w:sz w:val="20"/>
              </w:rPr>
              <w:t>12.1</w:t>
            </w:r>
          </w:p>
        </w:tc>
        <w:tc>
          <w:tcPr>
            <w:tcW w:w="2304" w:type="dxa"/>
            <w:noWrap/>
            <w:vAlign w:val="center"/>
            <w:hideMark/>
          </w:tcPr>
          <w:p w14:paraId="0F1B4184" w14:textId="77777777" w:rsidR="00E6706F" w:rsidRPr="00E6706F" w:rsidRDefault="00E6706F" w:rsidP="00643B41">
            <w:pPr>
              <w:jc w:val="center"/>
              <w:rPr>
                <w:color w:val="000000"/>
                <w:sz w:val="20"/>
              </w:rPr>
            </w:pPr>
            <w:r w:rsidRPr="00E6706F">
              <w:rPr>
                <w:color w:val="000000"/>
                <w:sz w:val="20"/>
              </w:rPr>
              <w:t>7.50%</w:t>
            </w:r>
          </w:p>
        </w:tc>
      </w:tr>
      <w:tr w:rsidR="00E6706F" w:rsidRPr="00E6706F" w14:paraId="7D2B1D4B" w14:textId="77777777" w:rsidTr="00574245">
        <w:trPr>
          <w:trHeight w:val="288"/>
          <w:jc w:val="center"/>
        </w:trPr>
        <w:tc>
          <w:tcPr>
            <w:tcW w:w="2147" w:type="dxa"/>
            <w:noWrap/>
            <w:vAlign w:val="center"/>
            <w:hideMark/>
          </w:tcPr>
          <w:p w14:paraId="43A5D917" w14:textId="77777777" w:rsidR="00E6706F" w:rsidRPr="00E6706F" w:rsidRDefault="00E6706F" w:rsidP="00643B41">
            <w:pPr>
              <w:rPr>
                <w:color w:val="000000"/>
                <w:sz w:val="20"/>
              </w:rPr>
            </w:pPr>
            <w:r w:rsidRPr="00E6706F">
              <w:rPr>
                <w:color w:val="000000"/>
                <w:sz w:val="20"/>
              </w:rPr>
              <w:t>Sylhet</w:t>
            </w:r>
          </w:p>
        </w:tc>
        <w:tc>
          <w:tcPr>
            <w:tcW w:w="2304" w:type="dxa"/>
            <w:noWrap/>
            <w:vAlign w:val="center"/>
            <w:hideMark/>
          </w:tcPr>
          <w:p w14:paraId="4C8610A3" w14:textId="77777777" w:rsidR="00E6706F" w:rsidRPr="00E6706F" w:rsidRDefault="00E6706F" w:rsidP="00643B41">
            <w:pPr>
              <w:jc w:val="center"/>
              <w:rPr>
                <w:color w:val="000000"/>
                <w:sz w:val="20"/>
              </w:rPr>
            </w:pPr>
            <w:r w:rsidRPr="00E6706F">
              <w:rPr>
                <w:color w:val="000000"/>
                <w:sz w:val="20"/>
              </w:rPr>
              <w:t>14.6</w:t>
            </w:r>
          </w:p>
        </w:tc>
        <w:tc>
          <w:tcPr>
            <w:tcW w:w="2304" w:type="dxa"/>
            <w:noWrap/>
            <w:vAlign w:val="center"/>
            <w:hideMark/>
          </w:tcPr>
          <w:p w14:paraId="4E39096B" w14:textId="77777777" w:rsidR="00E6706F" w:rsidRPr="00E6706F" w:rsidRDefault="00E6706F" w:rsidP="00643B41">
            <w:pPr>
              <w:jc w:val="center"/>
              <w:rPr>
                <w:color w:val="000000"/>
                <w:sz w:val="20"/>
              </w:rPr>
            </w:pPr>
            <w:r w:rsidRPr="00E6706F">
              <w:rPr>
                <w:color w:val="000000"/>
                <w:sz w:val="20"/>
              </w:rPr>
              <w:t>8.10%</w:t>
            </w:r>
          </w:p>
        </w:tc>
      </w:tr>
    </w:tbl>
    <w:p w14:paraId="5E2D0B62" w14:textId="77777777" w:rsidR="00E6706F" w:rsidRDefault="00E6706F" w:rsidP="00643B41">
      <w:pPr>
        <w:pStyle w:val="Paragraph"/>
      </w:pPr>
    </w:p>
    <w:p w14:paraId="34435704" w14:textId="6862FCC6" w:rsidR="002611F3" w:rsidRDefault="005E2559" w:rsidP="00643B41">
      <w:pPr>
        <w:pStyle w:val="Paragraph"/>
      </w:pPr>
      <w:r w:rsidRPr="00473F47">
        <w:t xml:space="preserve">Figure </w:t>
      </w:r>
      <w:r w:rsidR="00473F47" w:rsidRPr="00473F47">
        <w:t>2(a) illustrates the relationship between Forest Area and Agricultural Area and Urban Area and Wildlife Species Count through the correlation heatmap. The data shows that an increase in forest territory leads to growth in species diversity as well as increased agricultural areas (0.90 and 0.87 correlations respectively). The relationship between Urban Area and Wildlife Species Count is quite insignificant based on the weak correlation value of 0.06 suggesting that urban expansion does not effectively promote biodiversity. This heatmap highlights how land use types correlate with biodiversity levels, emphasizing the importance of forest preservation for maintaining species richness.</w:t>
      </w:r>
    </w:p>
    <w:p w14:paraId="0EC8BE48" w14:textId="5FC382D8" w:rsidR="00574245" w:rsidRDefault="00574245" w:rsidP="00643B41">
      <w:pPr>
        <w:pStyle w:val="Paragraph"/>
      </w:pPr>
      <w:r w:rsidRPr="005E2559">
        <w:t>Figure</w:t>
      </w:r>
      <w:r w:rsidRPr="002611F3">
        <w:t xml:space="preserve"> 2(b) demonstrates an opposite trend relationship between species count and expanding urban areas, which shows the negative consequence urbanization has on biodiversity. The rising urban zone leads to a drastic decrease in species number, thus indicating substantial biodiversity reduction due to growing cities. The observations align precisely with the regression model predictions; moreover, the $R^2$ value reaches 0.99, which signifies that 99% of species count variation relies on urban area variations. The relationship between urban growth and biodiversity decline is strongly confirmed by this measurement of correlation. Sustainability in urban planning and protection of natural habitats with remaining species becomes increasingly vital because of growing </w:t>
      </w:r>
      <w:proofErr w:type="gramStart"/>
      <w:r w:rsidRPr="002611F3">
        <w:t>urbanization pressure</w:t>
      </w:r>
      <w:proofErr w:type="gramEnd"/>
      <w:r w:rsidRPr="002611F3">
        <w:t>.</w:t>
      </w:r>
    </w:p>
    <w:p w14:paraId="6A98D0D1" w14:textId="6A7F7467" w:rsidR="00336DA8" w:rsidRDefault="00336DA8" w:rsidP="00643B41">
      <w:pPr>
        <w:pStyle w:val="Paragraph"/>
      </w:pPr>
      <w:r w:rsidRPr="002611F3">
        <w:rPr>
          <w:noProof/>
        </w:rPr>
        <w:drawing>
          <wp:anchor distT="0" distB="0" distL="114300" distR="114300" simplePos="0" relativeHeight="251659264" behindDoc="0" locked="0" layoutInCell="1" allowOverlap="1" wp14:anchorId="10E04337" wp14:editId="0512BAC4">
            <wp:simplePos x="0" y="0"/>
            <wp:positionH relativeFrom="margin">
              <wp:align>center</wp:align>
            </wp:positionH>
            <wp:positionV relativeFrom="paragraph">
              <wp:posOffset>164465</wp:posOffset>
            </wp:positionV>
            <wp:extent cx="5915660" cy="2194560"/>
            <wp:effectExtent l="0" t="0" r="889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15660" cy="21945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29EA9E" w14:textId="124E15AA" w:rsidR="002611F3" w:rsidRPr="00D96A14" w:rsidRDefault="002611F3" w:rsidP="00336DA8">
      <w:pPr>
        <w:pStyle w:val="Paragraph"/>
        <w:spacing w:before="120"/>
        <w:ind w:firstLine="288"/>
        <w:jc w:val="center"/>
        <w:rPr>
          <w:sz w:val="18"/>
          <w:szCs w:val="18"/>
        </w:rPr>
      </w:pPr>
      <w:r w:rsidRPr="00D96A14">
        <w:rPr>
          <w:b/>
          <w:bCs/>
          <w:sz w:val="18"/>
          <w:szCs w:val="18"/>
        </w:rPr>
        <w:t>FIGURE 2.</w:t>
      </w:r>
      <w:r w:rsidRPr="00D96A14">
        <w:rPr>
          <w:sz w:val="18"/>
          <w:szCs w:val="18"/>
        </w:rPr>
        <w:t xml:space="preserve"> (a) Correlation </w:t>
      </w:r>
      <w:r w:rsidR="00844BE3">
        <w:rPr>
          <w:sz w:val="18"/>
          <w:szCs w:val="18"/>
        </w:rPr>
        <w:t>a</w:t>
      </w:r>
      <w:r w:rsidRPr="00D96A14">
        <w:rPr>
          <w:sz w:val="18"/>
          <w:szCs w:val="18"/>
        </w:rPr>
        <w:t xml:space="preserve">nalysis (b) </w:t>
      </w:r>
      <w:r w:rsidR="00844BE3">
        <w:rPr>
          <w:sz w:val="18"/>
          <w:szCs w:val="18"/>
        </w:rPr>
        <w:t>r</w:t>
      </w:r>
      <w:r w:rsidRPr="00D96A14">
        <w:rPr>
          <w:sz w:val="18"/>
          <w:szCs w:val="18"/>
        </w:rPr>
        <w:t xml:space="preserve">egression </w:t>
      </w:r>
      <w:r w:rsidR="00844BE3">
        <w:rPr>
          <w:sz w:val="18"/>
          <w:szCs w:val="18"/>
        </w:rPr>
        <w:t>a</w:t>
      </w:r>
      <w:r w:rsidRPr="00D96A14">
        <w:rPr>
          <w:sz w:val="18"/>
          <w:szCs w:val="18"/>
        </w:rPr>
        <w:t xml:space="preserve">nalysis: </w:t>
      </w:r>
      <w:r w:rsidR="00844BE3">
        <w:rPr>
          <w:sz w:val="18"/>
          <w:szCs w:val="18"/>
        </w:rPr>
        <w:t>u</w:t>
      </w:r>
      <w:r w:rsidRPr="00D96A14">
        <w:rPr>
          <w:sz w:val="18"/>
          <w:szCs w:val="18"/>
        </w:rPr>
        <w:t xml:space="preserve">rban </w:t>
      </w:r>
      <w:r w:rsidR="00844BE3">
        <w:rPr>
          <w:sz w:val="18"/>
          <w:szCs w:val="18"/>
        </w:rPr>
        <w:t>a</w:t>
      </w:r>
      <w:r w:rsidRPr="00D96A14">
        <w:rPr>
          <w:sz w:val="18"/>
          <w:szCs w:val="18"/>
        </w:rPr>
        <w:t xml:space="preserve">rea vs </w:t>
      </w:r>
      <w:r w:rsidR="00844BE3">
        <w:rPr>
          <w:sz w:val="18"/>
          <w:szCs w:val="18"/>
        </w:rPr>
        <w:t>s</w:t>
      </w:r>
      <w:r w:rsidRPr="00D96A14">
        <w:rPr>
          <w:sz w:val="18"/>
          <w:szCs w:val="18"/>
        </w:rPr>
        <w:t xml:space="preserve">pecies </w:t>
      </w:r>
      <w:r w:rsidR="00844BE3">
        <w:rPr>
          <w:sz w:val="18"/>
          <w:szCs w:val="18"/>
        </w:rPr>
        <w:t>c</w:t>
      </w:r>
      <w:r w:rsidRPr="00D96A14">
        <w:rPr>
          <w:sz w:val="18"/>
          <w:szCs w:val="18"/>
        </w:rPr>
        <w:t>ount</w:t>
      </w:r>
    </w:p>
    <w:p w14:paraId="56153BCB" w14:textId="77777777" w:rsidR="002611F3" w:rsidRDefault="002611F3" w:rsidP="00643B41">
      <w:pPr>
        <w:pStyle w:val="Paragraph"/>
        <w:jc w:val="center"/>
      </w:pPr>
    </w:p>
    <w:p w14:paraId="74F0A631" w14:textId="43E6E8B5" w:rsidR="00E6706F" w:rsidRDefault="002611F3" w:rsidP="00643B41">
      <w:pPr>
        <w:pStyle w:val="Paragraph"/>
      </w:pPr>
      <w:r w:rsidRPr="002611F3">
        <w:t xml:space="preserve">Biodiversity has changed because of urbanization during the period from 2000 to 2020 as green spaces gradually decreased while habitats diminished greatly. The 69% growth of urban areas resulted in a 15% reduction of green spaces which in turn caused habitat destruction as well as fragmentation and species extinction. The colossal amount of timber removal for agricultural purposes along with urban building projects disrupts ecosystems thereby creating </w:t>
      </w:r>
      <w:r w:rsidRPr="002611F3">
        <w:lastRenderedPageBreak/>
        <w:t>deteriorations such as air pollution and heat wave effects. The conservation listing of species demonstrates the dire effects of these impacts because numbers of species become endangered or vulnerable. Analysis shows a weak connection between urban development and diversity levels because urbanization has negative effects on biological diversity. The preservation of forests together with sustainable land practices must be maintained to stop biodiversity decline because of fast urban development.</w:t>
      </w:r>
    </w:p>
    <w:p w14:paraId="2707C3DE" w14:textId="46389098" w:rsidR="002611F3" w:rsidRPr="00A24F3D" w:rsidRDefault="002611F3" w:rsidP="00643B41">
      <w:pPr>
        <w:pStyle w:val="Paragraph"/>
      </w:pPr>
      <w:r w:rsidRPr="002611F3">
        <w:t xml:space="preserve">Several important recommendations need implementation </w:t>
      </w:r>
      <w:proofErr w:type="gramStart"/>
      <w:r w:rsidRPr="002611F3">
        <w:t>in order to</w:t>
      </w:r>
      <w:proofErr w:type="gramEnd"/>
      <w:r w:rsidRPr="002611F3">
        <w:t xml:space="preserve"> protect and support biodiversity preservation. The first mandate requires policy measures to stop deforestation and rebuild former forest areas with restored habitats. Creating wildlife corridors along with safe passageways remains crucial to lowering human-wildlife clashes and enabling species migration. The growth of urban biodiversity requires improved quantities of green spaces and higher quality urban vegetation in urban planning initiatives. Assessment improvements combined with continuous monitoring of various species groups should lead to better vulnerability identification that will make appropriate conservation strategies possible. To lessen biodiversity loss sustainable agricultural </w:t>
      </w:r>
      <w:r w:rsidR="003C7FD4" w:rsidRPr="002611F3">
        <w:t>practices,</w:t>
      </w:r>
      <w:r w:rsidRPr="002611F3">
        <w:t xml:space="preserve"> need promotion since </w:t>
      </w:r>
      <w:r w:rsidR="003C7FD4" w:rsidRPr="002611F3">
        <w:t>this help</w:t>
      </w:r>
      <w:r w:rsidRPr="002611F3">
        <w:t xml:space="preserve"> decrease habitat destruction and minimize pesticide use alongside chemical pollution. Several management tools synchronize to protect both ecosystems and build biodiversity resistance against quick development.</w:t>
      </w:r>
    </w:p>
    <w:p w14:paraId="25B14497" w14:textId="1B70299C" w:rsidR="003B0151" w:rsidRDefault="003B0151" w:rsidP="00643B41">
      <w:pPr>
        <w:pStyle w:val="Heading1"/>
        <w:rPr>
          <w:b w:val="0"/>
          <w:caps w:val="0"/>
          <w:sz w:val="20"/>
        </w:rPr>
      </w:pPr>
      <w:r>
        <w:rPr>
          <w:rFonts w:asciiTheme="majorBidi" w:hAnsiTheme="majorBidi" w:cstheme="majorBidi"/>
        </w:rPr>
        <w:t>CONCLUSION</w:t>
      </w:r>
    </w:p>
    <w:p w14:paraId="55F74D8A" w14:textId="63AA588A" w:rsidR="002611F3" w:rsidRDefault="002611F3" w:rsidP="00643B41">
      <w:pPr>
        <w:pStyle w:val="Paragraph"/>
        <w:rPr>
          <w:rFonts w:asciiTheme="majorBidi" w:hAnsiTheme="majorBidi" w:cstheme="majorBidi"/>
        </w:rPr>
      </w:pPr>
      <w:r w:rsidRPr="002611F3">
        <w:rPr>
          <w:rFonts w:asciiTheme="majorBidi" w:hAnsiTheme="majorBidi" w:cstheme="majorBidi"/>
        </w:rPr>
        <w:t>The study establishes urbanization as one major driver of biodiversity loss in Bangladesh where urban expansion has clearly been associated with habitat destruction.  Habitat destruction is further compounded as wildlife is threatened with death and injury from increasing pollution, increasing habitat fragmentation, and, ultimately, the destruction of forests, wetlands, and agricultural land into urban infrastructure. Through statistical analysis, the study identified major causes of biodiversity loss, including road construction, urban migration, and the reduction of green spaces. These not only restrict the movement of species but impair ecological balance and reduce ecosystem resilience. Declining vegetation cover and rising species threatened provide clear justification for enforcing sustainable urban planning solutions. Policy measures should provide for conservation and restoration of any green areas, ecological corridors, and sustainable land use practices. The present research will help urban planners, environmentalists, and policymakers to explore a development trajectory appropriate for establishing a balance between urban growth and environmental sustainability.</w:t>
      </w:r>
    </w:p>
    <w:p w14:paraId="55FF9C53" w14:textId="12722602" w:rsidR="003B0151" w:rsidRPr="002611F3" w:rsidRDefault="002611F3" w:rsidP="00643B41">
      <w:pPr>
        <w:pStyle w:val="Paragraph"/>
        <w:rPr>
          <w:rFonts w:asciiTheme="majorBidi" w:hAnsiTheme="majorBidi" w:cstheme="majorBidi"/>
        </w:rPr>
      </w:pPr>
      <w:r w:rsidRPr="002611F3">
        <w:rPr>
          <w:rFonts w:asciiTheme="majorBidi" w:hAnsiTheme="majorBidi" w:cstheme="majorBidi"/>
        </w:rPr>
        <w:t>This study has various limitations even though it carries useful data but neglects the secondary impacts of urbanization and lacks sufficient data on wildlife mortality statistics. The research does not evaluate green space quality while maintaining limited coverage of non-urban zones.</w:t>
      </w:r>
      <w:r>
        <w:rPr>
          <w:rFonts w:asciiTheme="majorBidi" w:hAnsiTheme="majorBidi" w:cstheme="majorBidi"/>
        </w:rPr>
        <w:t xml:space="preserve"> </w:t>
      </w:r>
      <w:r w:rsidRPr="002611F3">
        <w:rPr>
          <w:rFonts w:asciiTheme="majorBidi" w:hAnsiTheme="majorBidi" w:cstheme="majorBidi"/>
        </w:rPr>
        <w:t>The future research demands species vulnerability evaluations to be redone while developing different biodiversity metrics beyond species numbers with better roadkill collection practices and evaluations of green space quality and biodiversity shifts throughout rural and peri-urban areas.</w:t>
      </w:r>
    </w:p>
    <w:p w14:paraId="16F21B4D" w14:textId="7EA9DFE7" w:rsidR="00613B4D" w:rsidRDefault="0016385D" w:rsidP="00643B41">
      <w:pPr>
        <w:pStyle w:val="Heading1"/>
        <w:rPr>
          <w:b w:val="0"/>
          <w:caps w:val="0"/>
          <w:sz w:val="20"/>
        </w:rPr>
      </w:pPr>
      <w:r w:rsidRPr="00075EA6">
        <w:rPr>
          <w:rFonts w:asciiTheme="majorBidi" w:hAnsiTheme="majorBidi" w:cstheme="majorBidi"/>
        </w:rPr>
        <w:t>References</w:t>
      </w:r>
    </w:p>
    <w:p w14:paraId="0E8EE9EA" w14:textId="325B8193" w:rsidR="007D0F31" w:rsidRPr="007D0F31" w:rsidRDefault="00D96A14" w:rsidP="007D0F31">
      <w:pPr>
        <w:pStyle w:val="Bibliography"/>
        <w:numPr>
          <w:ilvl w:val="0"/>
          <w:numId w:val="46"/>
        </w:numPr>
        <w:ind w:left="432" w:hanging="432"/>
        <w:jc w:val="both"/>
        <w:rPr>
          <w:sz w:val="20"/>
        </w:rPr>
      </w:pPr>
      <w:r w:rsidRPr="007D0F31">
        <w:rPr>
          <w:sz w:val="20"/>
        </w:rPr>
        <w:fldChar w:fldCharType="begin"/>
      </w:r>
      <w:r w:rsidR="00421348" w:rsidRPr="007D0F31">
        <w:rPr>
          <w:sz w:val="20"/>
        </w:rPr>
        <w:instrText xml:space="preserve"> ADDIN ZOTERO_BIBL {"uncited":[],"omitted":[],"custom":[]} CSL_BIBLIOGRAPHY </w:instrText>
      </w:r>
      <w:r w:rsidRPr="007D0F31">
        <w:rPr>
          <w:sz w:val="20"/>
        </w:rPr>
        <w:fldChar w:fldCharType="separate"/>
      </w:r>
      <w:r w:rsidR="00421348" w:rsidRPr="007D0F31">
        <w:rPr>
          <w:sz w:val="20"/>
        </w:rPr>
        <w:t xml:space="preserve">N. Nawar, R. Sorker, F.J. Chowdhury, and Md. Mostafizur Rahman, “Present status and historical changes of urban green space in Dhaka city, Bangladesh: A remote sensing driven approach,” Environmental Challenges </w:t>
      </w:r>
      <w:r w:rsidR="00421348" w:rsidRPr="007D0F31">
        <w:rPr>
          <w:b/>
          <w:bCs/>
          <w:sz w:val="20"/>
        </w:rPr>
        <w:t>6</w:t>
      </w:r>
      <w:r w:rsidR="00421348" w:rsidRPr="007D0F31">
        <w:rPr>
          <w:sz w:val="20"/>
        </w:rPr>
        <w:t>, 100425 (2022).</w:t>
      </w:r>
    </w:p>
    <w:p w14:paraId="2AC93738" w14:textId="77777777" w:rsidR="007D0F31" w:rsidRPr="007D0F31" w:rsidRDefault="00421348" w:rsidP="007D0F31">
      <w:pPr>
        <w:pStyle w:val="Bibliography"/>
        <w:numPr>
          <w:ilvl w:val="0"/>
          <w:numId w:val="46"/>
        </w:numPr>
        <w:ind w:left="432" w:hanging="432"/>
        <w:jc w:val="both"/>
        <w:rPr>
          <w:sz w:val="20"/>
        </w:rPr>
      </w:pPr>
      <w:r w:rsidRPr="007D0F31">
        <w:rPr>
          <w:sz w:val="20"/>
        </w:rPr>
        <w:t xml:space="preserve">M.A.R. Khan, and M.S.M. Chowdhury, </w:t>
      </w:r>
      <w:r w:rsidRPr="007D0F31">
        <w:rPr>
          <w:i/>
          <w:iCs/>
          <w:sz w:val="20"/>
        </w:rPr>
        <w:t>Red List of Bangladesh</w:t>
      </w:r>
      <w:r w:rsidRPr="007D0F31">
        <w:rPr>
          <w:sz w:val="20"/>
        </w:rPr>
        <w:t xml:space="preserve"> (IUCN, International Union for Conservation of Nature, Bangladesh Country Office, Dhaka, Bangladesh, 2015).</w:t>
      </w:r>
    </w:p>
    <w:p w14:paraId="275BA5C1" w14:textId="77777777" w:rsidR="007D0F31" w:rsidRPr="007D0F31" w:rsidRDefault="00421348" w:rsidP="007D0F31">
      <w:pPr>
        <w:pStyle w:val="Bibliography"/>
        <w:numPr>
          <w:ilvl w:val="0"/>
          <w:numId w:val="46"/>
        </w:numPr>
        <w:ind w:left="432" w:hanging="432"/>
        <w:jc w:val="both"/>
        <w:rPr>
          <w:sz w:val="20"/>
        </w:rPr>
      </w:pPr>
      <w:r w:rsidRPr="007D0F31">
        <w:rPr>
          <w:sz w:val="20"/>
        </w:rPr>
        <w:t xml:space="preserve">M.S. Misty, M.A.-A. Hoque, and S.A. Mukul, “Assessment of Urban Green Space Dynamics in Dhaka South City Corporation of Bangladesh Using Geospatial Techniques,” Land </w:t>
      </w:r>
      <w:r w:rsidRPr="007D0F31">
        <w:rPr>
          <w:b/>
          <w:bCs/>
          <w:sz w:val="20"/>
        </w:rPr>
        <w:t>13</w:t>
      </w:r>
      <w:r w:rsidRPr="007D0F31">
        <w:rPr>
          <w:sz w:val="20"/>
        </w:rPr>
        <w:t>(9), 1426 (2024).</w:t>
      </w:r>
    </w:p>
    <w:p w14:paraId="2A1E0BD2" w14:textId="77777777" w:rsidR="007D0F31" w:rsidRPr="007D0F31" w:rsidRDefault="00421348" w:rsidP="007D0F31">
      <w:pPr>
        <w:pStyle w:val="Bibliography"/>
        <w:numPr>
          <w:ilvl w:val="0"/>
          <w:numId w:val="46"/>
        </w:numPr>
        <w:ind w:left="432" w:hanging="432"/>
        <w:jc w:val="both"/>
        <w:rPr>
          <w:sz w:val="20"/>
        </w:rPr>
      </w:pPr>
      <w:r w:rsidRPr="007D0F31">
        <w:rPr>
          <w:sz w:val="20"/>
        </w:rPr>
        <w:t xml:space="preserve">S. Chowdhury, S.A. Shahriar, M. Böhm, A. Jain, U. Aich, M.P. Zalucki, T. Hesselberg, F. Morelli, Y. Benedetti, A.S. Persson, D.K. Roy, S. Rahman, S. Ahmed, and R.A. Fuller, “Urban green spaces in Dhaka, Bangladesh, harbour nearly half the country’s butterfly diversity,” Journal of Urban Ecology </w:t>
      </w:r>
      <w:r w:rsidRPr="007D0F31">
        <w:rPr>
          <w:b/>
          <w:bCs/>
          <w:sz w:val="20"/>
        </w:rPr>
        <w:t>7</w:t>
      </w:r>
      <w:r w:rsidRPr="007D0F31">
        <w:rPr>
          <w:sz w:val="20"/>
        </w:rPr>
        <w:t>(1), juab008 (2021).</w:t>
      </w:r>
    </w:p>
    <w:p w14:paraId="4027C551" w14:textId="77777777" w:rsidR="007D0F31" w:rsidRPr="007D0F31" w:rsidRDefault="00421348" w:rsidP="007D0F31">
      <w:pPr>
        <w:pStyle w:val="Bibliography"/>
        <w:numPr>
          <w:ilvl w:val="0"/>
          <w:numId w:val="46"/>
        </w:numPr>
        <w:ind w:left="432" w:hanging="432"/>
        <w:jc w:val="both"/>
        <w:rPr>
          <w:sz w:val="20"/>
        </w:rPr>
      </w:pPr>
      <w:r w:rsidRPr="007D0F31">
        <w:rPr>
          <w:sz w:val="20"/>
        </w:rPr>
        <w:t xml:space="preserve">M. Sultana, I. Storch, M.N. Naser, and M. Uddin, “Land cover and socioeconomic factors explain avian diversity in a tropical megacity,” E&amp;S </w:t>
      </w:r>
      <w:r w:rsidRPr="007D0F31">
        <w:rPr>
          <w:b/>
          <w:bCs/>
          <w:sz w:val="20"/>
        </w:rPr>
        <w:t>27</w:t>
      </w:r>
      <w:r w:rsidRPr="007D0F31">
        <w:rPr>
          <w:sz w:val="20"/>
        </w:rPr>
        <w:t>(1), art19 (2022).</w:t>
      </w:r>
    </w:p>
    <w:p w14:paraId="2401E38D" w14:textId="77777777" w:rsidR="007D0F31" w:rsidRPr="007D0F31" w:rsidRDefault="00421348" w:rsidP="007D0F31">
      <w:pPr>
        <w:pStyle w:val="Bibliography"/>
        <w:numPr>
          <w:ilvl w:val="0"/>
          <w:numId w:val="46"/>
        </w:numPr>
        <w:ind w:left="432" w:hanging="432"/>
        <w:jc w:val="both"/>
        <w:rPr>
          <w:sz w:val="20"/>
        </w:rPr>
      </w:pPr>
      <w:r w:rsidRPr="007D0F31">
        <w:rPr>
          <w:sz w:val="20"/>
        </w:rPr>
        <w:t xml:space="preserve">R. Sorker, M.W. Khan, A. Kabir, and N. Nawar, “Variations in ecosystem service value in response to land use changes in Dhaka and Gazipur Districts of Bangladesh,” Environ Syst Res </w:t>
      </w:r>
      <w:r w:rsidRPr="007D0F31">
        <w:rPr>
          <w:b/>
          <w:bCs/>
          <w:sz w:val="20"/>
        </w:rPr>
        <w:t>12</w:t>
      </w:r>
      <w:r w:rsidRPr="007D0F31">
        <w:rPr>
          <w:sz w:val="20"/>
        </w:rPr>
        <w:t>(1), 32 (2023).</w:t>
      </w:r>
    </w:p>
    <w:p w14:paraId="6413C3E2" w14:textId="77777777" w:rsidR="007D0F31" w:rsidRPr="007D0F31" w:rsidRDefault="00421348" w:rsidP="007D0F31">
      <w:pPr>
        <w:pStyle w:val="Bibliography"/>
        <w:numPr>
          <w:ilvl w:val="0"/>
          <w:numId w:val="46"/>
        </w:numPr>
        <w:ind w:left="432" w:hanging="432"/>
        <w:jc w:val="both"/>
        <w:rPr>
          <w:sz w:val="20"/>
        </w:rPr>
      </w:pPr>
      <w:r w:rsidRPr="007D0F31">
        <w:rPr>
          <w:sz w:val="20"/>
        </w:rPr>
        <w:t xml:space="preserve">M.A. Shila, A. Shomrat, and M.Z. Uddin, “Assessent of tree diversity in the vegetation of ramna areas of dhaka city for better management,” Bangladesh J. Bot. </w:t>
      </w:r>
      <w:r w:rsidRPr="007D0F31">
        <w:rPr>
          <w:b/>
          <w:bCs/>
          <w:sz w:val="20"/>
        </w:rPr>
        <w:t>53</w:t>
      </w:r>
      <w:r w:rsidRPr="007D0F31">
        <w:rPr>
          <w:sz w:val="20"/>
        </w:rPr>
        <w:t>(3), 605–617 (2024).</w:t>
      </w:r>
    </w:p>
    <w:p w14:paraId="7EC0720C" w14:textId="77777777" w:rsidR="007D0F31" w:rsidRPr="007D0F31" w:rsidRDefault="00421348" w:rsidP="007D0F31">
      <w:pPr>
        <w:pStyle w:val="Bibliography"/>
        <w:numPr>
          <w:ilvl w:val="0"/>
          <w:numId w:val="46"/>
        </w:numPr>
        <w:ind w:left="432" w:hanging="432"/>
        <w:jc w:val="both"/>
        <w:rPr>
          <w:sz w:val="20"/>
        </w:rPr>
      </w:pPr>
      <w:r w:rsidRPr="007D0F31">
        <w:rPr>
          <w:sz w:val="20"/>
        </w:rPr>
        <w:lastRenderedPageBreak/>
        <w:t xml:space="preserve">A. Sultana, A. Islam, A. Hosna, A. Tahsin, and A. Islam, “The impact of Urbanization on the Proliferation of Aedes Aegypti (Diptera: Culicidae) Mosquito Population in Dhaka Mega City, Bangladesh,” Bangladesh J. Zool. </w:t>
      </w:r>
      <w:r w:rsidRPr="007D0F31">
        <w:rPr>
          <w:b/>
          <w:bCs/>
          <w:sz w:val="20"/>
        </w:rPr>
        <w:t>52</w:t>
      </w:r>
      <w:r w:rsidRPr="007D0F31">
        <w:rPr>
          <w:sz w:val="20"/>
        </w:rPr>
        <w:t>(2), 201–215 (2024).</w:t>
      </w:r>
    </w:p>
    <w:p w14:paraId="4DC9D0DD" w14:textId="77777777" w:rsidR="007D0F31" w:rsidRPr="007D0F31" w:rsidRDefault="00421348" w:rsidP="007D0F31">
      <w:pPr>
        <w:pStyle w:val="Bibliography"/>
        <w:numPr>
          <w:ilvl w:val="0"/>
          <w:numId w:val="46"/>
        </w:numPr>
        <w:ind w:left="432" w:hanging="432"/>
        <w:jc w:val="both"/>
        <w:rPr>
          <w:sz w:val="20"/>
        </w:rPr>
      </w:pPr>
      <w:r w:rsidRPr="007D0F31">
        <w:rPr>
          <w:sz w:val="20"/>
        </w:rPr>
        <w:t xml:space="preserve">M. Ranagalage, T. Morimoto, M. Simwanda, and Y. Murayama, “Spatial Analysis of Urbanization Patterns in Four Rapidly Growing South Asian Cities Using Sentinel-2 Data,” Remote Sensing </w:t>
      </w:r>
      <w:r w:rsidRPr="007D0F31">
        <w:rPr>
          <w:b/>
          <w:bCs/>
          <w:sz w:val="20"/>
        </w:rPr>
        <w:t>13</w:t>
      </w:r>
      <w:r w:rsidRPr="007D0F31">
        <w:rPr>
          <w:sz w:val="20"/>
        </w:rPr>
        <w:t>(8), 1531 (2021).</w:t>
      </w:r>
    </w:p>
    <w:p w14:paraId="38053A11" w14:textId="77777777" w:rsidR="007D0F31" w:rsidRPr="007D0F31" w:rsidRDefault="00DD7C7F" w:rsidP="007D0F31">
      <w:pPr>
        <w:pStyle w:val="Bibliography"/>
        <w:numPr>
          <w:ilvl w:val="0"/>
          <w:numId w:val="46"/>
        </w:numPr>
        <w:ind w:left="432" w:hanging="432"/>
        <w:jc w:val="both"/>
        <w:rPr>
          <w:sz w:val="20"/>
        </w:rPr>
      </w:pPr>
      <w:r w:rsidRPr="007D0F31">
        <w:rPr>
          <w:sz w:val="20"/>
        </w:rPr>
        <w:t xml:space="preserve">P. Behera, J. Rout, and D.J. Mohanty, “Impact of Urbanization on Biodiversity Hotspot: A Case of Bhubaneswar City,” JoRSG </w:t>
      </w:r>
      <w:r w:rsidRPr="007D0F31">
        <w:rPr>
          <w:b/>
          <w:bCs/>
          <w:sz w:val="20"/>
        </w:rPr>
        <w:t>15</w:t>
      </w:r>
      <w:r w:rsidRPr="007D0F31">
        <w:rPr>
          <w:sz w:val="20"/>
        </w:rPr>
        <w:t>(3), 20–28 (2024).</w:t>
      </w:r>
    </w:p>
    <w:p w14:paraId="1F73156A" w14:textId="77777777" w:rsidR="007D0F31" w:rsidRPr="007D0F31" w:rsidRDefault="00DD7C7F" w:rsidP="007D0F31">
      <w:pPr>
        <w:pStyle w:val="Bibliography"/>
        <w:numPr>
          <w:ilvl w:val="0"/>
          <w:numId w:val="46"/>
        </w:numPr>
        <w:ind w:left="432" w:hanging="432"/>
        <w:jc w:val="both"/>
        <w:rPr>
          <w:sz w:val="20"/>
        </w:rPr>
      </w:pPr>
      <w:r w:rsidRPr="007D0F31">
        <w:rPr>
          <w:sz w:val="20"/>
        </w:rPr>
        <w:t xml:space="preserve">M. Firoj Jaman, A. Razzaque Sarker, M. Alam, M. Rahman, F. Rabbe, A.S. Rana, A.R. Shome, and S. Hossain, “Species diversity, distribution and habitat utilization of urban wildlife in a megacity of Bangladesh,” Biodiversity Journal </w:t>
      </w:r>
      <w:r w:rsidRPr="007D0F31">
        <w:rPr>
          <w:b/>
          <w:bCs/>
          <w:sz w:val="20"/>
        </w:rPr>
        <w:t>12</w:t>
      </w:r>
      <w:r w:rsidRPr="007D0F31">
        <w:rPr>
          <w:sz w:val="20"/>
        </w:rPr>
        <w:t>(3), 635–653 (2021).</w:t>
      </w:r>
    </w:p>
    <w:p w14:paraId="010F1DF4" w14:textId="77777777" w:rsidR="007D0F31" w:rsidRPr="007D0F31" w:rsidRDefault="00DD7C7F" w:rsidP="007D0F31">
      <w:pPr>
        <w:pStyle w:val="Bibliography"/>
        <w:numPr>
          <w:ilvl w:val="0"/>
          <w:numId w:val="46"/>
        </w:numPr>
        <w:ind w:left="432" w:hanging="432"/>
        <w:jc w:val="both"/>
        <w:rPr>
          <w:sz w:val="20"/>
        </w:rPr>
      </w:pPr>
      <w:r w:rsidRPr="007D0F31">
        <w:rPr>
          <w:sz w:val="20"/>
        </w:rPr>
        <w:t xml:space="preserve">A. Pauchard, M. Aguayo, E. Peña, and R. Urrutia, “Multiple effects of urbanization on the biodiversity of developing countries: The case of a fast-growing metropolitan area (Concepción, Chile),” Biological Conservation </w:t>
      </w:r>
      <w:r w:rsidRPr="007D0F31">
        <w:rPr>
          <w:b/>
          <w:bCs/>
          <w:sz w:val="20"/>
        </w:rPr>
        <w:t>127</w:t>
      </w:r>
      <w:r w:rsidRPr="007D0F31">
        <w:rPr>
          <w:sz w:val="20"/>
        </w:rPr>
        <w:t>(3), 272–281 (2006).</w:t>
      </w:r>
    </w:p>
    <w:p w14:paraId="0B0E1C81" w14:textId="77777777" w:rsidR="007D0F31" w:rsidRPr="007D0F31" w:rsidRDefault="00DD7C7F" w:rsidP="007D0F31">
      <w:pPr>
        <w:pStyle w:val="Bibliography"/>
        <w:numPr>
          <w:ilvl w:val="0"/>
          <w:numId w:val="46"/>
        </w:numPr>
        <w:ind w:left="432" w:hanging="432"/>
        <w:jc w:val="both"/>
        <w:rPr>
          <w:sz w:val="20"/>
        </w:rPr>
      </w:pPr>
      <w:r w:rsidRPr="007D0F31">
        <w:rPr>
          <w:sz w:val="20"/>
        </w:rPr>
        <w:t xml:space="preserve">B.B. of S. (BBS), </w:t>
      </w:r>
      <w:r w:rsidRPr="007D0F31">
        <w:rPr>
          <w:i/>
          <w:iCs/>
          <w:sz w:val="20"/>
        </w:rPr>
        <w:t>Agriculture Census 2019: Structure of Agricultural Holdings and Livestock &amp; Fisheries, National Series</w:t>
      </w:r>
      <w:r w:rsidRPr="007D0F31">
        <w:rPr>
          <w:sz w:val="20"/>
        </w:rPr>
        <w:t xml:space="preserve"> (Bangladesh Bureau of Statistics, Statistics and Informatics Division, Ministry of Planning, Government of the People’s Republic of Bangladesh, Dhaka, 2022).</w:t>
      </w:r>
    </w:p>
    <w:p w14:paraId="6E8CBF63" w14:textId="77777777" w:rsidR="007D0F31" w:rsidRPr="007D0F31" w:rsidRDefault="00DD7C7F" w:rsidP="007D0F31">
      <w:pPr>
        <w:pStyle w:val="Bibliography"/>
        <w:numPr>
          <w:ilvl w:val="0"/>
          <w:numId w:val="46"/>
        </w:numPr>
        <w:ind w:left="432" w:hanging="432"/>
        <w:jc w:val="both"/>
        <w:rPr>
          <w:sz w:val="20"/>
        </w:rPr>
      </w:pPr>
      <w:r w:rsidRPr="007D0F31">
        <w:rPr>
          <w:sz w:val="20"/>
        </w:rPr>
        <w:t xml:space="preserve">B.E.L.A. (BELA), </w:t>
      </w:r>
      <w:r w:rsidRPr="007D0F31">
        <w:rPr>
          <w:i/>
          <w:iCs/>
          <w:sz w:val="20"/>
        </w:rPr>
        <w:t>Annual Report</w:t>
      </w:r>
      <w:r w:rsidRPr="007D0F31">
        <w:rPr>
          <w:sz w:val="20"/>
        </w:rPr>
        <w:t xml:space="preserve"> (Bangladesh Environmental Lawyers Association, Dhaka, Bangladesh, n.d.).</w:t>
      </w:r>
    </w:p>
    <w:p w14:paraId="47E8C4EE" w14:textId="77777777" w:rsidR="007D0F31" w:rsidRPr="007D0F31" w:rsidRDefault="00DD7C7F" w:rsidP="007D0F31">
      <w:pPr>
        <w:pStyle w:val="Bibliography"/>
        <w:numPr>
          <w:ilvl w:val="0"/>
          <w:numId w:val="46"/>
        </w:numPr>
        <w:ind w:left="432" w:hanging="432"/>
        <w:jc w:val="both"/>
        <w:rPr>
          <w:sz w:val="20"/>
        </w:rPr>
      </w:pPr>
      <w:r w:rsidRPr="007D0F31">
        <w:rPr>
          <w:sz w:val="20"/>
        </w:rPr>
        <w:t xml:space="preserve">W. Bank, </w:t>
      </w:r>
      <w:r w:rsidRPr="007D0F31">
        <w:rPr>
          <w:i/>
          <w:iCs/>
          <w:sz w:val="20"/>
        </w:rPr>
        <w:t>Bangladesh Development Update Vol 1</w:t>
      </w:r>
      <w:r w:rsidRPr="007D0F31">
        <w:rPr>
          <w:sz w:val="20"/>
        </w:rPr>
        <w:t xml:space="preserve"> (The World Bank, 2024).</w:t>
      </w:r>
    </w:p>
    <w:p w14:paraId="1B55E626" w14:textId="77777777" w:rsidR="007D0F31" w:rsidRPr="007D0F31" w:rsidRDefault="00DD7C7F" w:rsidP="007D0F31">
      <w:pPr>
        <w:pStyle w:val="Bibliography"/>
        <w:numPr>
          <w:ilvl w:val="0"/>
          <w:numId w:val="46"/>
        </w:numPr>
        <w:ind w:left="432" w:hanging="432"/>
        <w:jc w:val="both"/>
        <w:rPr>
          <w:sz w:val="20"/>
        </w:rPr>
      </w:pPr>
      <w:r w:rsidRPr="007D0F31">
        <w:rPr>
          <w:sz w:val="20"/>
        </w:rPr>
        <w:t xml:space="preserve">B.B. of S. (BBS), </w:t>
      </w:r>
      <w:r w:rsidRPr="007D0F31">
        <w:rPr>
          <w:i/>
          <w:iCs/>
          <w:sz w:val="20"/>
        </w:rPr>
        <w:t>Statistical Yearbook Bangladesh 2023</w:t>
      </w:r>
      <w:r w:rsidRPr="007D0F31">
        <w:rPr>
          <w:sz w:val="20"/>
        </w:rPr>
        <w:t>, 43rd ed. (Bangladesh Bureau of Statistics, Statistics and Informatics Division, Ministry of Planning, Government of the People’s Republic of Bangladesh, Dhaka, Bangladesh, 2024).</w:t>
      </w:r>
    </w:p>
    <w:p w14:paraId="2C08429B" w14:textId="7F2DCE72" w:rsidR="00DD7C7F" w:rsidRPr="007D0F31" w:rsidRDefault="00DD7C7F" w:rsidP="007D0F31">
      <w:pPr>
        <w:pStyle w:val="Bibliography"/>
        <w:numPr>
          <w:ilvl w:val="0"/>
          <w:numId w:val="46"/>
        </w:numPr>
        <w:ind w:left="432" w:hanging="432"/>
        <w:jc w:val="both"/>
        <w:rPr>
          <w:sz w:val="20"/>
        </w:rPr>
      </w:pPr>
      <w:r w:rsidRPr="007D0F31">
        <w:rPr>
          <w:sz w:val="20"/>
        </w:rPr>
        <w:t>S. Puri, Md.M. Ahmmed, V. Choudhary, K.M.T. Kabir, E. Haque, and Mst.N. Noor, “A statistical odyssey: Mapping the current and future terrain of wind energy in Bangladesh,” (Jaipur, India, 2025), p. 030005.</w:t>
      </w:r>
    </w:p>
    <w:p w14:paraId="4DE91CCB" w14:textId="25BDDCD2" w:rsidR="00326AE0" w:rsidRPr="00114AB1" w:rsidRDefault="00D96A14" w:rsidP="007D0F31">
      <w:pPr>
        <w:pStyle w:val="Reference"/>
        <w:numPr>
          <w:ilvl w:val="0"/>
          <w:numId w:val="0"/>
        </w:numPr>
      </w:pPr>
      <w:r w:rsidRPr="007D0F31">
        <w:fldChar w:fldCharType="end"/>
      </w:r>
    </w:p>
    <w:sectPr w:rsidR="00326AE0" w:rsidRPr="00114AB1" w:rsidSect="00643B41">
      <w:pgSz w:w="12240" w:h="15840" w:code="1"/>
      <w:pgMar w:top="1440" w:right="1440" w:bottom="1440" w:left="1440" w:header="720" w:footer="720" w:gutter="0"/>
      <w:cols w:space="720"/>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STEPHANIE EONG SHI KAR" w:date="2025-10-03T14:59:00Z" w:initials="S">
    <w:p w14:paraId="40665881" w14:textId="77777777" w:rsidR="00563673" w:rsidRDefault="00563673" w:rsidP="00563673">
      <w:pPr>
        <w:pStyle w:val="CommentText"/>
      </w:pPr>
      <w:r>
        <w:rPr>
          <w:rStyle w:val="CommentReference"/>
        </w:rPr>
        <w:annotationRef/>
      </w:r>
      <w:r>
        <w:rPr>
          <w:lang w:val="en-MY"/>
        </w:rPr>
        <w:t>Equation (1) has four formulas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066588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B5D2020" w16cex:dateUtc="2025-10-03T06: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0665881" w16cid:durableId="6B5D202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414943"/>
    <w:multiLevelType w:val="hybridMultilevel"/>
    <w:tmpl w:val="AE241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879052615">
    <w:abstractNumId w:val="16"/>
  </w:num>
  <w:num w:numId="2" w16cid:durableId="2010867888">
    <w:abstractNumId w:val="4"/>
  </w:num>
  <w:num w:numId="3" w16cid:durableId="669872367">
    <w:abstractNumId w:val="13"/>
  </w:num>
  <w:num w:numId="4" w16cid:durableId="1391686388">
    <w:abstractNumId w:val="8"/>
  </w:num>
  <w:num w:numId="5" w16cid:durableId="1411152036">
    <w:abstractNumId w:val="12"/>
  </w:num>
  <w:num w:numId="6" w16cid:durableId="1979921125">
    <w:abstractNumId w:val="5"/>
  </w:num>
  <w:num w:numId="7" w16cid:durableId="1296374506">
    <w:abstractNumId w:val="7"/>
  </w:num>
  <w:num w:numId="8" w16cid:durableId="1792285888">
    <w:abstractNumId w:val="2"/>
  </w:num>
  <w:num w:numId="9" w16cid:durableId="1679190013">
    <w:abstractNumId w:val="15"/>
  </w:num>
  <w:num w:numId="10" w16cid:durableId="394089466">
    <w:abstractNumId w:val="10"/>
  </w:num>
  <w:num w:numId="11" w16cid:durableId="1702901079">
    <w:abstractNumId w:val="14"/>
  </w:num>
  <w:num w:numId="12" w16cid:durableId="426652753">
    <w:abstractNumId w:val="11"/>
  </w:num>
  <w:num w:numId="13" w16cid:durableId="2003122860">
    <w:abstractNumId w:val="6"/>
  </w:num>
  <w:num w:numId="14" w16cid:durableId="1126974525">
    <w:abstractNumId w:val="15"/>
  </w:num>
  <w:num w:numId="15" w16cid:durableId="633145885">
    <w:abstractNumId w:val="9"/>
  </w:num>
  <w:num w:numId="16" w16cid:durableId="683673595">
    <w:abstractNumId w:val="6"/>
  </w:num>
  <w:num w:numId="17" w16cid:durableId="1181118232">
    <w:abstractNumId w:val="6"/>
  </w:num>
  <w:num w:numId="18" w16cid:durableId="325520531">
    <w:abstractNumId w:val="6"/>
  </w:num>
  <w:num w:numId="19" w16cid:durableId="2071731438">
    <w:abstractNumId w:val="6"/>
  </w:num>
  <w:num w:numId="20" w16cid:durableId="50157500">
    <w:abstractNumId w:val="6"/>
  </w:num>
  <w:num w:numId="21" w16cid:durableId="766341805">
    <w:abstractNumId w:val="6"/>
  </w:num>
  <w:num w:numId="22" w16cid:durableId="635456091">
    <w:abstractNumId w:val="6"/>
  </w:num>
  <w:num w:numId="23" w16cid:durableId="468134133">
    <w:abstractNumId w:val="6"/>
  </w:num>
  <w:num w:numId="24" w16cid:durableId="605885398">
    <w:abstractNumId w:val="6"/>
  </w:num>
  <w:num w:numId="25" w16cid:durableId="1235240867">
    <w:abstractNumId w:val="6"/>
  </w:num>
  <w:num w:numId="26" w16cid:durableId="588660046">
    <w:abstractNumId w:val="6"/>
  </w:num>
  <w:num w:numId="27" w16cid:durableId="14187669">
    <w:abstractNumId w:val="6"/>
  </w:num>
  <w:num w:numId="28" w16cid:durableId="63838184">
    <w:abstractNumId w:val="6"/>
  </w:num>
  <w:num w:numId="29" w16cid:durableId="1585870772">
    <w:abstractNumId w:val="12"/>
  </w:num>
  <w:num w:numId="30" w16cid:durableId="1553999548">
    <w:abstractNumId w:val="12"/>
  </w:num>
  <w:num w:numId="31" w16cid:durableId="1932397884">
    <w:abstractNumId w:val="12"/>
    <w:lvlOverride w:ilvl="0">
      <w:startOverride w:val="1"/>
    </w:lvlOverride>
  </w:num>
  <w:num w:numId="32" w16cid:durableId="1620254690">
    <w:abstractNumId w:val="12"/>
  </w:num>
  <w:num w:numId="33" w16cid:durableId="1719622480">
    <w:abstractNumId w:val="12"/>
    <w:lvlOverride w:ilvl="0">
      <w:startOverride w:val="1"/>
    </w:lvlOverride>
  </w:num>
  <w:num w:numId="34" w16cid:durableId="161363360">
    <w:abstractNumId w:val="12"/>
    <w:lvlOverride w:ilvl="0">
      <w:startOverride w:val="1"/>
    </w:lvlOverride>
  </w:num>
  <w:num w:numId="35" w16cid:durableId="950820119">
    <w:abstractNumId w:val="13"/>
    <w:lvlOverride w:ilvl="0">
      <w:startOverride w:val="1"/>
    </w:lvlOverride>
  </w:num>
  <w:num w:numId="36" w16cid:durableId="220597364">
    <w:abstractNumId w:val="13"/>
  </w:num>
  <w:num w:numId="37" w16cid:durableId="762457640">
    <w:abstractNumId w:val="13"/>
    <w:lvlOverride w:ilvl="0">
      <w:startOverride w:val="1"/>
    </w:lvlOverride>
  </w:num>
  <w:num w:numId="38" w16cid:durableId="955527226">
    <w:abstractNumId w:val="13"/>
  </w:num>
  <w:num w:numId="39" w16cid:durableId="1997149374">
    <w:abstractNumId w:val="13"/>
    <w:lvlOverride w:ilvl="0">
      <w:startOverride w:val="1"/>
    </w:lvlOverride>
  </w:num>
  <w:num w:numId="40" w16cid:durableId="158274739">
    <w:abstractNumId w:val="13"/>
    <w:lvlOverride w:ilvl="0">
      <w:startOverride w:val="1"/>
    </w:lvlOverride>
  </w:num>
  <w:num w:numId="41" w16cid:durableId="2072003048">
    <w:abstractNumId w:val="13"/>
    <w:lvlOverride w:ilvl="0">
      <w:startOverride w:val="1"/>
    </w:lvlOverride>
  </w:num>
  <w:num w:numId="42" w16cid:durableId="1389378866">
    <w:abstractNumId w:val="13"/>
  </w:num>
  <w:num w:numId="43" w16cid:durableId="1466777324">
    <w:abstractNumId w:val="13"/>
  </w:num>
  <w:num w:numId="44" w16cid:durableId="1099063856">
    <w:abstractNumId w:val="3"/>
  </w:num>
  <w:num w:numId="45" w16cid:durableId="6056069">
    <w:abstractNumId w:val="0"/>
  </w:num>
  <w:num w:numId="46" w16cid:durableId="37312095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PHANIE EONG SHI KAR">
    <w15:presenceInfo w15:providerId="AD" w15:userId="S::STEPHANIE.EONG.SHI@student.mmu.edu.my::fbac5737-d31b-4b03-a90e-89e673c2947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3128"/>
    <w:rsid w:val="00014140"/>
    <w:rsid w:val="00027428"/>
    <w:rsid w:val="00031EC9"/>
    <w:rsid w:val="00066FED"/>
    <w:rsid w:val="00075EA6"/>
    <w:rsid w:val="0007709F"/>
    <w:rsid w:val="000811EC"/>
    <w:rsid w:val="00086F62"/>
    <w:rsid w:val="00090674"/>
    <w:rsid w:val="0009320B"/>
    <w:rsid w:val="00096AE0"/>
    <w:rsid w:val="000B1B74"/>
    <w:rsid w:val="000B3A2D"/>
    <w:rsid w:val="000B49C0"/>
    <w:rsid w:val="000C34FF"/>
    <w:rsid w:val="000E382F"/>
    <w:rsid w:val="000E75CD"/>
    <w:rsid w:val="000F3526"/>
    <w:rsid w:val="001036BA"/>
    <w:rsid w:val="001146DC"/>
    <w:rsid w:val="00114AB1"/>
    <w:rsid w:val="0012299C"/>
    <w:rsid w:val="001230FF"/>
    <w:rsid w:val="00130BD7"/>
    <w:rsid w:val="00155B67"/>
    <w:rsid w:val="001562AF"/>
    <w:rsid w:val="00161A5B"/>
    <w:rsid w:val="0016385D"/>
    <w:rsid w:val="0016782F"/>
    <w:rsid w:val="00171A43"/>
    <w:rsid w:val="001907FA"/>
    <w:rsid w:val="001937E9"/>
    <w:rsid w:val="001964E5"/>
    <w:rsid w:val="001A3B45"/>
    <w:rsid w:val="001B263B"/>
    <w:rsid w:val="001B476A"/>
    <w:rsid w:val="001C764F"/>
    <w:rsid w:val="001C7BB3"/>
    <w:rsid w:val="001D469C"/>
    <w:rsid w:val="0021619E"/>
    <w:rsid w:val="0023171B"/>
    <w:rsid w:val="00236BFC"/>
    <w:rsid w:val="00237437"/>
    <w:rsid w:val="00240BB9"/>
    <w:rsid w:val="002502FD"/>
    <w:rsid w:val="002611F3"/>
    <w:rsid w:val="00274622"/>
    <w:rsid w:val="00285D24"/>
    <w:rsid w:val="00290390"/>
    <w:rsid w:val="002915D3"/>
    <w:rsid w:val="002924DB"/>
    <w:rsid w:val="002941DA"/>
    <w:rsid w:val="00296B19"/>
    <w:rsid w:val="002B50EF"/>
    <w:rsid w:val="002B5648"/>
    <w:rsid w:val="002E3C35"/>
    <w:rsid w:val="002F5298"/>
    <w:rsid w:val="00321802"/>
    <w:rsid w:val="00326AE0"/>
    <w:rsid w:val="00336DA8"/>
    <w:rsid w:val="00337E4F"/>
    <w:rsid w:val="00340C36"/>
    <w:rsid w:val="00346A9D"/>
    <w:rsid w:val="0039376F"/>
    <w:rsid w:val="003A287B"/>
    <w:rsid w:val="003A5C85"/>
    <w:rsid w:val="003A61B1"/>
    <w:rsid w:val="003B0050"/>
    <w:rsid w:val="003B0151"/>
    <w:rsid w:val="003C7FD4"/>
    <w:rsid w:val="003D6312"/>
    <w:rsid w:val="003E7C74"/>
    <w:rsid w:val="003F31C6"/>
    <w:rsid w:val="0040225B"/>
    <w:rsid w:val="00402DA2"/>
    <w:rsid w:val="00421348"/>
    <w:rsid w:val="00425AC2"/>
    <w:rsid w:val="0044771F"/>
    <w:rsid w:val="00473F47"/>
    <w:rsid w:val="00494F86"/>
    <w:rsid w:val="004B151D"/>
    <w:rsid w:val="004C7243"/>
    <w:rsid w:val="004E21DE"/>
    <w:rsid w:val="004E3C57"/>
    <w:rsid w:val="004E3CB2"/>
    <w:rsid w:val="004F002C"/>
    <w:rsid w:val="004F70D5"/>
    <w:rsid w:val="00525813"/>
    <w:rsid w:val="0053513F"/>
    <w:rsid w:val="00544E84"/>
    <w:rsid w:val="00546444"/>
    <w:rsid w:val="00563673"/>
    <w:rsid w:val="00574245"/>
    <w:rsid w:val="00574405"/>
    <w:rsid w:val="005854B0"/>
    <w:rsid w:val="0059227F"/>
    <w:rsid w:val="005A0E21"/>
    <w:rsid w:val="005B3A34"/>
    <w:rsid w:val="005D49AF"/>
    <w:rsid w:val="005E2559"/>
    <w:rsid w:val="005E415C"/>
    <w:rsid w:val="005E71ED"/>
    <w:rsid w:val="005E7946"/>
    <w:rsid w:val="005F7475"/>
    <w:rsid w:val="00611299"/>
    <w:rsid w:val="00613B4D"/>
    <w:rsid w:val="00616365"/>
    <w:rsid w:val="00616F3B"/>
    <w:rsid w:val="006249A7"/>
    <w:rsid w:val="0064225B"/>
    <w:rsid w:val="00643B41"/>
    <w:rsid w:val="006763F9"/>
    <w:rsid w:val="006949BC"/>
    <w:rsid w:val="006B581B"/>
    <w:rsid w:val="006D1229"/>
    <w:rsid w:val="006D372F"/>
    <w:rsid w:val="006D7A18"/>
    <w:rsid w:val="006E33E2"/>
    <w:rsid w:val="006E4474"/>
    <w:rsid w:val="006F2337"/>
    <w:rsid w:val="00701388"/>
    <w:rsid w:val="00723B7F"/>
    <w:rsid w:val="00725861"/>
    <w:rsid w:val="0073393A"/>
    <w:rsid w:val="0073539D"/>
    <w:rsid w:val="00767B8A"/>
    <w:rsid w:val="00775481"/>
    <w:rsid w:val="00783EBD"/>
    <w:rsid w:val="007840EB"/>
    <w:rsid w:val="007A233B"/>
    <w:rsid w:val="007B4863"/>
    <w:rsid w:val="007C65E6"/>
    <w:rsid w:val="007D0F31"/>
    <w:rsid w:val="007D406B"/>
    <w:rsid w:val="007D4407"/>
    <w:rsid w:val="007E1CA3"/>
    <w:rsid w:val="00812D62"/>
    <w:rsid w:val="00812F29"/>
    <w:rsid w:val="00815DAE"/>
    <w:rsid w:val="00821713"/>
    <w:rsid w:val="00826A4C"/>
    <w:rsid w:val="00827050"/>
    <w:rsid w:val="0083278B"/>
    <w:rsid w:val="00834538"/>
    <w:rsid w:val="00844BE3"/>
    <w:rsid w:val="00850E89"/>
    <w:rsid w:val="008734CB"/>
    <w:rsid w:val="008930E4"/>
    <w:rsid w:val="00893821"/>
    <w:rsid w:val="008A7B9C"/>
    <w:rsid w:val="008B39FA"/>
    <w:rsid w:val="008B4754"/>
    <w:rsid w:val="008E6A7A"/>
    <w:rsid w:val="008F1038"/>
    <w:rsid w:val="008F7046"/>
    <w:rsid w:val="009005FC"/>
    <w:rsid w:val="00922E5A"/>
    <w:rsid w:val="00943315"/>
    <w:rsid w:val="00946C27"/>
    <w:rsid w:val="00991D13"/>
    <w:rsid w:val="009A4F3D"/>
    <w:rsid w:val="009B696B"/>
    <w:rsid w:val="009B7671"/>
    <w:rsid w:val="009E3EB7"/>
    <w:rsid w:val="009E5BA1"/>
    <w:rsid w:val="009F056E"/>
    <w:rsid w:val="00A24F3D"/>
    <w:rsid w:val="00A26DCD"/>
    <w:rsid w:val="00A314BB"/>
    <w:rsid w:val="00A32B7D"/>
    <w:rsid w:val="00A5596B"/>
    <w:rsid w:val="00A646B3"/>
    <w:rsid w:val="00A6739B"/>
    <w:rsid w:val="00A67714"/>
    <w:rsid w:val="00A728CF"/>
    <w:rsid w:val="00A90413"/>
    <w:rsid w:val="00AA728C"/>
    <w:rsid w:val="00AB0A9C"/>
    <w:rsid w:val="00AB7119"/>
    <w:rsid w:val="00AD5855"/>
    <w:rsid w:val="00AE7500"/>
    <w:rsid w:val="00AE7F87"/>
    <w:rsid w:val="00AF28DB"/>
    <w:rsid w:val="00AF3542"/>
    <w:rsid w:val="00AF5ABE"/>
    <w:rsid w:val="00B00415"/>
    <w:rsid w:val="00B03C2A"/>
    <w:rsid w:val="00B1000D"/>
    <w:rsid w:val="00B10134"/>
    <w:rsid w:val="00B16BFE"/>
    <w:rsid w:val="00B346C0"/>
    <w:rsid w:val="00B45432"/>
    <w:rsid w:val="00B500E5"/>
    <w:rsid w:val="00B676E5"/>
    <w:rsid w:val="00BA39BB"/>
    <w:rsid w:val="00BA3B3D"/>
    <w:rsid w:val="00BB7EEA"/>
    <w:rsid w:val="00BD1909"/>
    <w:rsid w:val="00BE10ED"/>
    <w:rsid w:val="00BE5E16"/>
    <w:rsid w:val="00BE5FD1"/>
    <w:rsid w:val="00C06E05"/>
    <w:rsid w:val="00C14B14"/>
    <w:rsid w:val="00C17370"/>
    <w:rsid w:val="00C2054D"/>
    <w:rsid w:val="00C252EB"/>
    <w:rsid w:val="00C26EC0"/>
    <w:rsid w:val="00C4082F"/>
    <w:rsid w:val="00C56C77"/>
    <w:rsid w:val="00C84923"/>
    <w:rsid w:val="00CB7B3E"/>
    <w:rsid w:val="00CC739D"/>
    <w:rsid w:val="00CE0B02"/>
    <w:rsid w:val="00D04468"/>
    <w:rsid w:val="00D0482D"/>
    <w:rsid w:val="00D30640"/>
    <w:rsid w:val="00D36257"/>
    <w:rsid w:val="00D3659D"/>
    <w:rsid w:val="00D4687E"/>
    <w:rsid w:val="00D53A12"/>
    <w:rsid w:val="00D87E2A"/>
    <w:rsid w:val="00D96A14"/>
    <w:rsid w:val="00DB0C43"/>
    <w:rsid w:val="00DD7C7F"/>
    <w:rsid w:val="00DE3354"/>
    <w:rsid w:val="00DF7DCD"/>
    <w:rsid w:val="00E41836"/>
    <w:rsid w:val="00E47660"/>
    <w:rsid w:val="00E50B7D"/>
    <w:rsid w:val="00E6706F"/>
    <w:rsid w:val="00E76C3F"/>
    <w:rsid w:val="00E904A1"/>
    <w:rsid w:val="00EB7D28"/>
    <w:rsid w:val="00EC0D0C"/>
    <w:rsid w:val="00ED4A2C"/>
    <w:rsid w:val="00EF626C"/>
    <w:rsid w:val="00EF6940"/>
    <w:rsid w:val="00F15311"/>
    <w:rsid w:val="00F15D36"/>
    <w:rsid w:val="00F2044A"/>
    <w:rsid w:val="00F20BFC"/>
    <w:rsid w:val="00F24D5F"/>
    <w:rsid w:val="00F726C3"/>
    <w:rsid w:val="00F7616F"/>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1Char">
    <w:name w:val="Heading 1 Char"/>
    <w:basedOn w:val="DefaultParagraphFont"/>
    <w:link w:val="Heading1"/>
    <w:rsid w:val="003B0151"/>
    <w:rPr>
      <w:b/>
      <w:caps/>
      <w:sz w:val="24"/>
      <w:lang w:val="en-US" w:eastAsia="en-US"/>
    </w:rPr>
  </w:style>
  <w:style w:type="character" w:styleId="PlaceholderText">
    <w:name w:val="Placeholder Text"/>
    <w:basedOn w:val="DefaultParagraphFont"/>
    <w:uiPriority w:val="99"/>
    <w:semiHidden/>
    <w:rsid w:val="006B581B"/>
    <w:rPr>
      <w:color w:val="666666"/>
    </w:rPr>
  </w:style>
  <w:style w:type="paragraph" w:styleId="Bibliography">
    <w:name w:val="Bibliography"/>
    <w:basedOn w:val="Normal"/>
    <w:next w:val="Normal"/>
    <w:uiPriority w:val="37"/>
    <w:unhideWhenUsed/>
    <w:rsid w:val="00D96A14"/>
    <w:pPr>
      <w:tabs>
        <w:tab w:val="left" w:pos="504"/>
      </w:tabs>
      <w:ind w:left="504" w:hanging="50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64876044">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522280411">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84103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8/08/relationships/commentsExtensible" Target="commentsExtensible.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comments" Target="comments.xml"/><Relationship Id="rId1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24</TotalTime>
  <Pages>7</Pages>
  <Words>8069</Words>
  <Characters>45998</Characters>
  <Application>Microsoft Office Word</Application>
  <DocSecurity>0</DocSecurity>
  <Lines>383</Lines>
  <Paragraphs>107</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53960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STEPHANIE EONG SHI KAR</cp:lastModifiedBy>
  <cp:revision>15</cp:revision>
  <cp:lastPrinted>2011-03-03T08:29:00Z</cp:lastPrinted>
  <dcterms:created xsi:type="dcterms:W3CDTF">2025-08-12T06:26:00Z</dcterms:created>
  <dcterms:modified xsi:type="dcterms:W3CDTF">2025-10-03T06:59:00Z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f4f02c68-1fe9-41bd-ae2f-8016874ab646</vt:lpwstr>
  </property>
  <property fmtid="{D5CDD505-2E9C-101B-9397-08002B2CF9AE}" pid="4" name="ZOTERO_PREF_1">
    <vt:lpwstr>&lt;data data-version="3" zotero-version="7.0.15"&gt;&lt;session id="X0pdLWYs"/&gt;&lt;style id="http://www.zotero.org/styles/aip-advances" hasBibliography="1" bibliographyStyleHasBeenSet="1"/&gt;&lt;prefs&gt;&lt;pref name="fieldType" value="Field"/&gt;&lt;pref name="automaticJournalAbbr</vt:lpwstr>
  </property>
  <property fmtid="{D5CDD505-2E9C-101B-9397-08002B2CF9AE}" pid="5" name="ZOTERO_PREF_2">
    <vt:lpwstr>eviations" value="true"/&gt;&lt;/prefs&gt;&lt;/data&gt;</vt:lpwstr>
  </property>
</Properties>
</file>